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FF6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2BC15F9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617B61EB"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347E046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09.07.2026</w:t>
            </w:r>
          </w:p>
        </w:tc>
      </w:tr>
      <w:tr w:rsidR="00000000" w14:paraId="1FA9A6FA"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55685C4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68DDD8C6"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4A7796B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09/07-01</w:t>
            </w:r>
          </w:p>
        </w:tc>
      </w:tr>
      <w:tr w:rsidR="00000000" w14:paraId="12292769" w14:textId="77777777">
        <w:tblPrEx>
          <w:tblCellMar>
            <w:top w:w="0" w:type="dxa"/>
            <w:bottom w:w="0" w:type="dxa"/>
          </w:tblCellMar>
        </w:tblPrEx>
        <w:trPr>
          <w:trHeight w:val="300"/>
        </w:trPr>
        <w:tc>
          <w:tcPr>
            <w:tcW w:w="5230" w:type="dxa"/>
            <w:tcBorders>
              <w:top w:val="nil"/>
              <w:left w:val="nil"/>
              <w:bottom w:val="nil"/>
              <w:right w:val="nil"/>
            </w:tcBorders>
            <w:vAlign w:val="bottom"/>
          </w:tcPr>
          <w:p w14:paraId="21D20C2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4FD9A88E"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45A04661" w14:textId="77777777">
        <w:tblPrEx>
          <w:tblCellMar>
            <w:top w:w="0" w:type="dxa"/>
            <w:bottom w:w="0" w:type="dxa"/>
          </w:tblCellMar>
        </w:tblPrEx>
        <w:trPr>
          <w:trHeight w:val="300"/>
        </w:trPr>
        <w:tc>
          <w:tcPr>
            <w:tcW w:w="10465" w:type="dxa"/>
            <w:tcBorders>
              <w:top w:val="nil"/>
              <w:left w:val="nil"/>
              <w:bottom w:val="nil"/>
              <w:right w:val="nil"/>
            </w:tcBorders>
            <w:vAlign w:val="bottom"/>
          </w:tcPr>
          <w:p w14:paraId="6C243F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30B8BE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6B098CE4"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3A70DE0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Генеральний директор</w:t>
            </w:r>
          </w:p>
        </w:tc>
        <w:tc>
          <w:tcPr>
            <w:tcW w:w="216" w:type="dxa"/>
            <w:tcBorders>
              <w:top w:val="nil"/>
              <w:left w:val="nil"/>
              <w:bottom w:val="nil"/>
              <w:right w:val="nil"/>
            </w:tcBorders>
          </w:tcPr>
          <w:p w14:paraId="1701E4B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3EAF3EB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6405688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3E8763B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roofErr w:type="spellStart"/>
            <w:r>
              <w:rPr>
                <w:rFonts w:ascii="Times New Roman" w:hAnsi="Times New Roman" w:cs="Times New Roman"/>
                <w:kern w:val="0"/>
              </w:rPr>
              <w:t>Севостьянов</w:t>
            </w:r>
            <w:proofErr w:type="spellEnd"/>
            <w:r>
              <w:rPr>
                <w:rFonts w:ascii="Times New Roman" w:hAnsi="Times New Roman" w:cs="Times New Roman"/>
                <w:kern w:val="0"/>
              </w:rPr>
              <w:t xml:space="preserve"> Ю.Б.</w:t>
            </w:r>
          </w:p>
        </w:tc>
      </w:tr>
      <w:tr w:rsidR="00000000" w14:paraId="6D3BC949" w14:textId="77777777">
        <w:tblPrEx>
          <w:tblCellMar>
            <w:top w:w="0" w:type="dxa"/>
            <w:bottom w:w="0" w:type="dxa"/>
          </w:tblCellMar>
        </w:tblPrEx>
        <w:trPr>
          <w:trHeight w:val="200"/>
        </w:trPr>
        <w:tc>
          <w:tcPr>
            <w:tcW w:w="3415" w:type="dxa"/>
            <w:tcBorders>
              <w:top w:val="nil"/>
              <w:left w:val="nil"/>
              <w:bottom w:val="nil"/>
              <w:right w:val="nil"/>
            </w:tcBorders>
          </w:tcPr>
          <w:p w14:paraId="686EFB1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04A4842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366E358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D08CE8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15E7809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29A5DF78"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5B7AD270"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11E7F658"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0AE257C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284E1D8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«Факел»</w:t>
      </w:r>
    </w:p>
    <w:p w14:paraId="57D05C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6F84EF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08500, Київська обл., м. Фастів, </w:t>
      </w:r>
      <w:proofErr w:type="spellStart"/>
      <w:r>
        <w:rPr>
          <w:rFonts w:ascii="Times New Roman" w:hAnsi="Times New Roman" w:cs="Times New Roman"/>
          <w:kern w:val="0"/>
        </w:rPr>
        <w:t>пл</w:t>
      </w:r>
      <w:proofErr w:type="spellEnd"/>
      <w:r>
        <w:rPr>
          <w:rFonts w:ascii="Times New Roman" w:hAnsi="Times New Roman" w:cs="Times New Roman"/>
          <w:kern w:val="0"/>
        </w:rPr>
        <w:t>. Промвузол</w:t>
      </w:r>
    </w:p>
    <w:p w14:paraId="59DB4E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04601469</w:t>
      </w:r>
    </w:p>
    <w:p w14:paraId="4D6825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(045) 656-67-60, (045) 656-67-62</w:t>
      </w:r>
    </w:p>
    <w:p w14:paraId="2F7C9A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info@fakel.ua</w:t>
      </w:r>
    </w:p>
    <w:p w14:paraId="5A376E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1B9FED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6156D66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B6B3754"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3B368787"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3A0FE3BC" w14:textId="77777777">
        <w:tblPrEx>
          <w:tblCellMar>
            <w:top w:w="0" w:type="dxa"/>
            <w:bottom w:w="0" w:type="dxa"/>
          </w:tblCellMar>
        </w:tblPrEx>
        <w:trPr>
          <w:trHeight w:val="300"/>
        </w:trPr>
        <w:tc>
          <w:tcPr>
            <w:tcW w:w="3415" w:type="dxa"/>
            <w:vMerge w:val="restart"/>
            <w:tcBorders>
              <w:top w:val="nil"/>
              <w:left w:val="nil"/>
              <w:bottom w:val="nil"/>
              <w:right w:val="nil"/>
            </w:tcBorders>
          </w:tcPr>
          <w:p w14:paraId="35FA23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58218D3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https://www.fakel.ua/ua/accounts/ </w:t>
            </w:r>
          </w:p>
        </w:tc>
        <w:tc>
          <w:tcPr>
            <w:tcW w:w="1885" w:type="dxa"/>
            <w:tcBorders>
              <w:top w:val="nil"/>
              <w:left w:val="nil"/>
              <w:bottom w:val="single" w:sz="6" w:space="0" w:color="auto"/>
              <w:right w:val="nil"/>
            </w:tcBorders>
            <w:vAlign w:val="bottom"/>
          </w:tcPr>
          <w:p w14:paraId="1A3338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09.07.2026</w:t>
            </w:r>
          </w:p>
        </w:tc>
      </w:tr>
      <w:tr w:rsidR="00000000" w14:paraId="35ED94A4" w14:textId="77777777">
        <w:tblPrEx>
          <w:tblCellMar>
            <w:top w:w="0" w:type="dxa"/>
            <w:bottom w:w="0" w:type="dxa"/>
          </w:tblCellMar>
        </w:tblPrEx>
        <w:trPr>
          <w:trHeight w:val="300"/>
        </w:trPr>
        <w:tc>
          <w:tcPr>
            <w:tcW w:w="3415" w:type="dxa"/>
            <w:vMerge/>
            <w:tcBorders>
              <w:top w:val="nil"/>
              <w:left w:val="nil"/>
              <w:bottom w:val="nil"/>
              <w:right w:val="nil"/>
            </w:tcBorders>
          </w:tcPr>
          <w:p w14:paraId="0EA07113"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3C1EAE3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000E0BF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766C1ADD"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2C4F7C1C"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0059005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акціонерів, яким належать голосуючі акції, розмір пакета яких стає більшим, меншим або рівним пороговому значенню пакета акцій</w:t>
      </w:r>
    </w:p>
    <w:p w14:paraId="716EA5A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3900"/>
        <w:gridCol w:w="3000"/>
        <w:gridCol w:w="1500"/>
        <w:gridCol w:w="1500"/>
        <w:gridCol w:w="1500"/>
        <w:gridCol w:w="1500"/>
      </w:tblGrid>
      <w:tr w:rsidR="00000000" w14:paraId="33C91DB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CD4E8C8"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4EF31A0C"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отримання інформації від  Центрального депозитарію цінних паперів або акціонера</w:t>
            </w:r>
          </w:p>
        </w:tc>
        <w:tc>
          <w:tcPr>
            <w:tcW w:w="3900" w:type="dxa"/>
            <w:tcBorders>
              <w:top w:val="single" w:sz="6" w:space="0" w:color="auto"/>
              <w:left w:val="single" w:sz="6" w:space="0" w:color="auto"/>
              <w:bottom w:val="single" w:sz="6" w:space="0" w:color="auto"/>
              <w:right w:val="single" w:sz="6" w:space="0" w:color="auto"/>
            </w:tcBorders>
            <w:vAlign w:val="center"/>
          </w:tcPr>
          <w:p w14:paraId="5F3B0C95"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або повне найменування власника акцій</w:t>
            </w:r>
          </w:p>
        </w:tc>
        <w:tc>
          <w:tcPr>
            <w:tcW w:w="3000" w:type="dxa"/>
            <w:tcBorders>
              <w:top w:val="single" w:sz="6" w:space="0" w:color="auto"/>
              <w:left w:val="single" w:sz="6" w:space="0" w:color="auto"/>
              <w:bottom w:val="single" w:sz="6" w:space="0" w:color="auto"/>
              <w:right w:val="single" w:sz="6" w:space="0" w:color="auto"/>
            </w:tcBorders>
            <w:vAlign w:val="center"/>
          </w:tcPr>
          <w:p w14:paraId="775EA23E"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Ідентифікаційний код юридичної особи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1500" w:type="dxa"/>
            <w:tcBorders>
              <w:top w:val="single" w:sz="6" w:space="0" w:color="auto"/>
              <w:left w:val="single" w:sz="6" w:space="0" w:color="auto"/>
              <w:bottom w:val="single" w:sz="6" w:space="0" w:color="auto"/>
              <w:right w:val="single" w:sz="6" w:space="0" w:color="auto"/>
            </w:tcBorders>
            <w:vAlign w:val="center"/>
          </w:tcPr>
          <w:p w14:paraId="048316DE"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3410FD5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УНЗР</w:t>
            </w:r>
          </w:p>
        </w:tc>
        <w:tc>
          <w:tcPr>
            <w:tcW w:w="1500" w:type="dxa"/>
            <w:tcBorders>
              <w:top w:val="single" w:sz="6" w:space="0" w:color="auto"/>
              <w:left w:val="single" w:sz="6" w:space="0" w:color="auto"/>
              <w:bottom w:val="single" w:sz="6" w:space="0" w:color="auto"/>
              <w:right w:val="single" w:sz="6" w:space="0" w:color="auto"/>
            </w:tcBorders>
            <w:vAlign w:val="center"/>
          </w:tcPr>
          <w:p w14:paraId="0AD2EEE3"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до зміни (у відсотках до статутного капіталу)</w:t>
            </w:r>
          </w:p>
        </w:tc>
        <w:tc>
          <w:tcPr>
            <w:tcW w:w="1500" w:type="dxa"/>
            <w:tcBorders>
              <w:top w:val="single" w:sz="6" w:space="0" w:color="auto"/>
              <w:left w:val="single" w:sz="6" w:space="0" w:color="auto"/>
              <w:bottom w:val="single" w:sz="6" w:space="0" w:color="auto"/>
            </w:tcBorders>
            <w:vAlign w:val="center"/>
          </w:tcPr>
          <w:p w14:paraId="59232180"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після зміни (у відсотках до статутного капіталу)</w:t>
            </w:r>
          </w:p>
        </w:tc>
      </w:tr>
      <w:tr w:rsidR="00000000" w14:paraId="73792EA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584E23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14:paraId="15E867A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3900" w:type="dxa"/>
            <w:tcBorders>
              <w:top w:val="single" w:sz="6" w:space="0" w:color="auto"/>
              <w:left w:val="single" w:sz="6" w:space="0" w:color="auto"/>
              <w:bottom w:val="single" w:sz="6" w:space="0" w:color="auto"/>
              <w:right w:val="single" w:sz="6" w:space="0" w:color="auto"/>
            </w:tcBorders>
            <w:vAlign w:val="center"/>
          </w:tcPr>
          <w:p w14:paraId="0FDD203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312916A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500" w:type="dxa"/>
            <w:tcBorders>
              <w:top w:val="single" w:sz="6" w:space="0" w:color="auto"/>
              <w:left w:val="single" w:sz="6" w:space="0" w:color="auto"/>
              <w:bottom w:val="single" w:sz="6" w:space="0" w:color="auto"/>
              <w:right w:val="single" w:sz="6" w:space="0" w:color="auto"/>
            </w:tcBorders>
            <w:vAlign w:val="center"/>
          </w:tcPr>
          <w:p w14:paraId="1056BB2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14:paraId="6A562FF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14:paraId="0779FE8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1500" w:type="dxa"/>
            <w:tcBorders>
              <w:top w:val="single" w:sz="6" w:space="0" w:color="auto"/>
              <w:left w:val="single" w:sz="6" w:space="0" w:color="auto"/>
              <w:bottom w:val="single" w:sz="6" w:space="0" w:color="auto"/>
            </w:tcBorders>
            <w:vAlign w:val="center"/>
          </w:tcPr>
          <w:p w14:paraId="6E27446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w:t>
            </w:r>
          </w:p>
        </w:tc>
      </w:tr>
      <w:tr w:rsidR="00000000" w14:paraId="2672627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0B000F9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tcPr>
          <w:p w14:paraId="1C62F9F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08.07.2026</w:t>
            </w:r>
          </w:p>
        </w:tc>
        <w:tc>
          <w:tcPr>
            <w:tcW w:w="3900" w:type="dxa"/>
            <w:tcBorders>
              <w:top w:val="single" w:sz="6" w:space="0" w:color="auto"/>
              <w:left w:val="single" w:sz="6" w:space="0" w:color="auto"/>
              <w:bottom w:val="single" w:sz="6" w:space="0" w:color="auto"/>
              <w:right w:val="single" w:sz="6" w:space="0" w:color="auto"/>
            </w:tcBorders>
          </w:tcPr>
          <w:p w14:paraId="1C1D022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КІМБЕРВІЛЬ ФАЙНЕНС ЕНД ІНВЕСТМЕНТ ЛІМІТЕД (KEMBERVILLE FINANCE AND INVESTMENT LIMITED)</w:t>
            </w:r>
          </w:p>
        </w:tc>
        <w:tc>
          <w:tcPr>
            <w:tcW w:w="3000" w:type="dxa"/>
            <w:tcBorders>
              <w:top w:val="single" w:sz="6" w:space="0" w:color="auto"/>
              <w:left w:val="single" w:sz="6" w:space="0" w:color="auto"/>
              <w:bottom w:val="single" w:sz="6" w:space="0" w:color="auto"/>
              <w:right w:val="single" w:sz="6" w:space="0" w:color="auto"/>
            </w:tcBorders>
          </w:tcPr>
          <w:p w14:paraId="1FE76DB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HE 271947</w:t>
            </w:r>
          </w:p>
        </w:tc>
        <w:tc>
          <w:tcPr>
            <w:tcW w:w="1500" w:type="dxa"/>
            <w:tcBorders>
              <w:top w:val="single" w:sz="6" w:space="0" w:color="auto"/>
              <w:left w:val="single" w:sz="6" w:space="0" w:color="auto"/>
              <w:bottom w:val="single" w:sz="6" w:space="0" w:color="auto"/>
              <w:right w:val="single" w:sz="6" w:space="0" w:color="auto"/>
            </w:tcBorders>
          </w:tcPr>
          <w:p w14:paraId="0C68515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1904F38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6DFF977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89,791537</w:t>
            </w:r>
          </w:p>
        </w:tc>
        <w:tc>
          <w:tcPr>
            <w:tcW w:w="1500" w:type="dxa"/>
            <w:tcBorders>
              <w:top w:val="single" w:sz="6" w:space="0" w:color="auto"/>
              <w:left w:val="single" w:sz="6" w:space="0" w:color="auto"/>
              <w:bottom w:val="single" w:sz="6" w:space="0" w:color="auto"/>
            </w:tcBorders>
          </w:tcPr>
          <w:p w14:paraId="0161F7F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4CC987F3" w14:textId="77777777">
        <w:tblPrEx>
          <w:tblCellMar>
            <w:top w:w="0" w:type="dxa"/>
            <w:bottom w:w="0" w:type="dxa"/>
          </w:tblCellMar>
        </w:tblPrEx>
        <w:trPr>
          <w:trHeight w:val="300"/>
        </w:trPr>
        <w:tc>
          <w:tcPr>
            <w:tcW w:w="15400" w:type="dxa"/>
            <w:gridSpan w:val="8"/>
            <w:tcBorders>
              <w:top w:val="single" w:sz="6" w:space="0" w:color="auto"/>
              <w:bottom w:val="single" w:sz="6" w:space="0" w:color="auto"/>
            </w:tcBorders>
            <w:vAlign w:val="center"/>
          </w:tcPr>
          <w:p w14:paraId="0D388817"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4F4F5F29" w14:textId="77777777">
        <w:tblPrEx>
          <w:tblCellMar>
            <w:top w:w="0" w:type="dxa"/>
            <w:bottom w:w="0" w:type="dxa"/>
          </w:tblCellMar>
        </w:tblPrEx>
        <w:trPr>
          <w:trHeight w:val="300"/>
        </w:trPr>
        <w:tc>
          <w:tcPr>
            <w:tcW w:w="15400" w:type="dxa"/>
            <w:gridSpan w:val="8"/>
            <w:tcBorders>
              <w:top w:val="single" w:sz="6" w:space="0" w:color="auto"/>
              <w:bottom w:val="single" w:sz="6" w:space="0" w:color="auto"/>
            </w:tcBorders>
            <w:vAlign w:val="center"/>
          </w:tcPr>
          <w:p w14:paraId="6A71503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Дата отримання інформації від Центрально депозитарію цінних паперів: 08.07.2026.</w:t>
            </w:r>
          </w:p>
          <w:p w14:paraId="181EB1A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Повне найменування власника акцій, якому належать голосуючі акції, розмір пакета яких стає більшим, меншим або рівним пороговому значенню пакета акцій: КІМБЕРВІЛЬ ФАЙНЕНС ЕНД ІНВЕСТМЕНТ ЛІМІТЕД (KEMBERVILLE FINANCE AND INVESTMENT LIMITED), ідентифікаційний номер HE 271947.</w:t>
            </w:r>
          </w:p>
          <w:p w14:paraId="6C9260E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Дія (набуття або відчуження): відчуження, яким чином (прямо або опосередковано) вона відбувалась: прямо.</w:t>
            </w:r>
          </w:p>
          <w:p w14:paraId="469C8D2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Розмір частки власника акцій в загальній кількості акцій до відчуження права власності на такий пакет акцій: 89,791537%.</w:t>
            </w:r>
          </w:p>
          <w:p w14:paraId="7EE102E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Розмір частки власника акцій в загальній кількості акцій після відчуження права власності на такий пакет акцій: 0%.</w:t>
            </w:r>
          </w:p>
          <w:p w14:paraId="193A9A3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Розмір частки власника акцій в загальній кількості голосуючих акцій до відчуження права власності на такий пакет акцій: 99,992265%.</w:t>
            </w:r>
          </w:p>
          <w:p w14:paraId="783BE31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Розмір частки власника акцій в загальній кількості голосуючих акцій після відчуження права власності на такий пакет акцій: 0%.</w:t>
            </w:r>
          </w:p>
          <w:p w14:paraId="2C8497E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Відомості про осіб (ім’я або повне найменування та ідентифікаційний код юридичної особи, відсоток прав голосу, якщо він дорівнює або перевищує порогове значення), які входять до ланцюга володіння корпоративними правами юридичної особи, через яких особа (особи, що діють спільно) здійснює(здійснюють) розпорядження акціями: відсутні.</w:t>
            </w:r>
          </w:p>
          <w:p w14:paraId="75C4D7D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Дата, в яку порогові значення було досягнуто або </w:t>
            </w:r>
            <w:proofErr w:type="spellStart"/>
            <w:r>
              <w:rPr>
                <w:rFonts w:ascii="Times New Roman" w:hAnsi="Times New Roman" w:cs="Times New Roman"/>
                <w:kern w:val="0"/>
                <w:sz w:val="20"/>
                <w:szCs w:val="20"/>
              </w:rPr>
              <w:t>перетнуто</w:t>
            </w:r>
            <w:proofErr w:type="spellEnd"/>
            <w:r>
              <w:rPr>
                <w:rFonts w:ascii="Times New Roman" w:hAnsi="Times New Roman" w:cs="Times New Roman"/>
                <w:kern w:val="0"/>
                <w:sz w:val="20"/>
                <w:szCs w:val="20"/>
              </w:rPr>
              <w:t xml:space="preserve"> (за наявності): 03.07.2026.</w:t>
            </w:r>
          </w:p>
          <w:p w14:paraId="1B98C87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 відсутня.</w:t>
            </w:r>
          </w:p>
        </w:tc>
      </w:tr>
      <w:tr w:rsidR="00000000" w14:paraId="318ECBE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3302913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000" w:type="dxa"/>
            <w:tcBorders>
              <w:top w:val="single" w:sz="6" w:space="0" w:color="auto"/>
              <w:left w:val="single" w:sz="6" w:space="0" w:color="auto"/>
              <w:bottom w:val="single" w:sz="6" w:space="0" w:color="auto"/>
              <w:right w:val="single" w:sz="6" w:space="0" w:color="auto"/>
            </w:tcBorders>
          </w:tcPr>
          <w:p w14:paraId="048AE03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08.07.2026</w:t>
            </w:r>
          </w:p>
        </w:tc>
        <w:tc>
          <w:tcPr>
            <w:tcW w:w="3900" w:type="dxa"/>
            <w:tcBorders>
              <w:top w:val="single" w:sz="6" w:space="0" w:color="auto"/>
              <w:left w:val="single" w:sz="6" w:space="0" w:color="auto"/>
              <w:bottom w:val="single" w:sz="6" w:space="0" w:color="auto"/>
              <w:right w:val="single" w:sz="6" w:space="0" w:color="auto"/>
            </w:tcBorders>
          </w:tcPr>
          <w:p w14:paraId="5EC7D4D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Савченко Сергій Валентинович</w:t>
            </w:r>
          </w:p>
        </w:tc>
        <w:tc>
          <w:tcPr>
            <w:tcW w:w="3000" w:type="dxa"/>
            <w:tcBorders>
              <w:top w:val="single" w:sz="6" w:space="0" w:color="auto"/>
              <w:left w:val="single" w:sz="6" w:space="0" w:color="auto"/>
              <w:bottom w:val="single" w:sz="6" w:space="0" w:color="auto"/>
              <w:right w:val="single" w:sz="6" w:space="0" w:color="auto"/>
            </w:tcBorders>
          </w:tcPr>
          <w:p w14:paraId="333D7E3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w:t>
            </w:r>
          </w:p>
        </w:tc>
        <w:tc>
          <w:tcPr>
            <w:tcW w:w="1500" w:type="dxa"/>
            <w:tcBorders>
              <w:top w:val="single" w:sz="6" w:space="0" w:color="auto"/>
              <w:left w:val="single" w:sz="6" w:space="0" w:color="auto"/>
              <w:bottom w:val="single" w:sz="6" w:space="0" w:color="auto"/>
              <w:right w:val="single" w:sz="6" w:space="0" w:color="auto"/>
            </w:tcBorders>
          </w:tcPr>
          <w:p w14:paraId="5921029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626C39A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6CEDD39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500" w:type="dxa"/>
            <w:tcBorders>
              <w:top w:val="single" w:sz="6" w:space="0" w:color="auto"/>
              <w:left w:val="single" w:sz="6" w:space="0" w:color="auto"/>
              <w:bottom w:val="single" w:sz="6" w:space="0" w:color="auto"/>
            </w:tcBorders>
          </w:tcPr>
          <w:p w14:paraId="7ADAA8E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89,791537</w:t>
            </w:r>
          </w:p>
        </w:tc>
      </w:tr>
      <w:tr w:rsidR="00000000" w14:paraId="363E36FB" w14:textId="77777777">
        <w:tblPrEx>
          <w:tblCellMar>
            <w:top w:w="0" w:type="dxa"/>
            <w:bottom w:w="0" w:type="dxa"/>
          </w:tblCellMar>
        </w:tblPrEx>
        <w:trPr>
          <w:trHeight w:val="300"/>
        </w:trPr>
        <w:tc>
          <w:tcPr>
            <w:tcW w:w="15400" w:type="dxa"/>
            <w:gridSpan w:val="8"/>
            <w:tcBorders>
              <w:top w:val="single" w:sz="6" w:space="0" w:color="auto"/>
              <w:bottom w:val="single" w:sz="6" w:space="0" w:color="auto"/>
            </w:tcBorders>
            <w:vAlign w:val="center"/>
          </w:tcPr>
          <w:p w14:paraId="4E3083D4"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365BB0C3" w14:textId="77777777">
        <w:tblPrEx>
          <w:tblCellMar>
            <w:top w:w="0" w:type="dxa"/>
            <w:bottom w:w="0" w:type="dxa"/>
          </w:tblCellMar>
        </w:tblPrEx>
        <w:trPr>
          <w:trHeight w:val="300"/>
        </w:trPr>
        <w:tc>
          <w:tcPr>
            <w:tcW w:w="15400" w:type="dxa"/>
            <w:gridSpan w:val="8"/>
            <w:tcBorders>
              <w:top w:val="single" w:sz="6" w:space="0" w:color="auto"/>
              <w:bottom w:val="single" w:sz="6" w:space="0" w:color="auto"/>
            </w:tcBorders>
            <w:vAlign w:val="center"/>
          </w:tcPr>
          <w:p w14:paraId="0BD0024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Дата отримання інформації від Центрально депозитарію цінних паперів: 08.07.2026.</w:t>
            </w:r>
          </w:p>
          <w:p w14:paraId="45F4B92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Ім’я власника акцій, якому належать голосуючі акції, розмір пакета яких стає більшим, меншим або рівним пороговому значенню пакета акцій: Савченко Сергій Валентинович.</w:t>
            </w:r>
          </w:p>
          <w:p w14:paraId="587113E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Дія (набуття або відчуження): набуття, яким чином (прямо або опосередковано) вона відбувалась: прямо.</w:t>
            </w:r>
          </w:p>
          <w:p w14:paraId="0516020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Розмір частки власника акцій в загальній кількості акцій до набуття права власності на такий пакет акцій: 0%.</w:t>
            </w:r>
          </w:p>
          <w:p w14:paraId="3858905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Розмір частки власника акцій в загальній кількості акцій після набуття права власності на такий пакет акцій: 89,791537%.</w:t>
            </w:r>
          </w:p>
          <w:p w14:paraId="38A67CF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Розмір частки власника акцій в загальній кількості голосуючих акцій до набуття права власності на такий пакет акцій: 0%.</w:t>
            </w:r>
          </w:p>
          <w:p w14:paraId="66144F3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Розмір частки власника акцій в загальній кількості голосуючих акцій після набуття права власності на такий пакет акцій: 99,992265%.</w:t>
            </w:r>
          </w:p>
          <w:p w14:paraId="342FE22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lastRenderedPageBreak/>
              <w:t>Відомості про осіб (ім’я або повне найменування та ідентифікаційний код юридичної особи, відсоток прав голосу, якщо він дорівнює або перевищує порогове значення), які входять до ланцюга володіння корпоративними правами юридичної особи, через яких особа (особи, що діють спільно) здійснює(здійснюють) розпорядження акціями: відсутні.</w:t>
            </w:r>
          </w:p>
          <w:p w14:paraId="2C02A3B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Дата, в яку порогові значення було досягнуто або </w:t>
            </w:r>
            <w:proofErr w:type="spellStart"/>
            <w:r>
              <w:rPr>
                <w:rFonts w:ascii="Times New Roman" w:hAnsi="Times New Roman" w:cs="Times New Roman"/>
                <w:kern w:val="0"/>
                <w:sz w:val="20"/>
                <w:szCs w:val="20"/>
              </w:rPr>
              <w:t>перетнуто</w:t>
            </w:r>
            <w:proofErr w:type="spellEnd"/>
            <w:r>
              <w:rPr>
                <w:rFonts w:ascii="Times New Roman" w:hAnsi="Times New Roman" w:cs="Times New Roman"/>
                <w:kern w:val="0"/>
                <w:sz w:val="20"/>
                <w:szCs w:val="20"/>
              </w:rPr>
              <w:t xml:space="preserve"> (за наявності): 03.07.2026.</w:t>
            </w:r>
          </w:p>
          <w:p w14:paraId="7C5079C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 відсутня.</w:t>
            </w:r>
          </w:p>
        </w:tc>
      </w:tr>
    </w:tbl>
    <w:p w14:paraId="769905F9" w14:textId="77777777" w:rsidR="00225E76" w:rsidRDefault="00225E76"/>
    <w:sectPr w:rsidR="00225E76">
      <w:pgSz w:w="16837" w:h="11905"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8114" w14:textId="77777777" w:rsidR="00225E76" w:rsidRDefault="00225E76">
      <w:pPr>
        <w:spacing w:after="0" w:line="240" w:lineRule="auto"/>
      </w:pPr>
      <w:r>
        <w:separator/>
      </w:r>
    </w:p>
  </w:endnote>
  <w:endnote w:type="continuationSeparator" w:id="0">
    <w:p w14:paraId="06DF8C8E" w14:textId="77777777" w:rsidR="00225E76" w:rsidRDefault="0022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DCF2"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895E73">
      <w:rPr>
        <w:rFonts w:ascii="Times New Roman" w:hAnsi="Times New Roman" w:cs="Times New Roman"/>
        <w:kern w:val="0"/>
        <w:sz w:val="20"/>
        <w:szCs w:val="20"/>
        <w:lang w:val="ru-RU"/>
      </w:rPr>
      <w:fldChar w:fldCharType="separate"/>
    </w:r>
    <w:r w:rsidR="00895E73">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2D79" w14:textId="77777777" w:rsidR="00225E76" w:rsidRDefault="00225E76">
      <w:pPr>
        <w:spacing w:after="0" w:line="240" w:lineRule="auto"/>
      </w:pPr>
      <w:r>
        <w:separator/>
      </w:r>
    </w:p>
  </w:footnote>
  <w:footnote w:type="continuationSeparator" w:id="0">
    <w:p w14:paraId="1ED01234" w14:textId="77777777" w:rsidR="00225E76" w:rsidRDefault="00225E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73"/>
    <w:rsid w:val="00225E76"/>
    <w:rsid w:val="004F130D"/>
    <w:rsid w:val="00895E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D089D"/>
  <w14:defaultImageDpi w14:val="0"/>
  <w15:docId w15:val="{EEDBC2C5-D9A0-47E6-B662-C2B0A5EC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4026</Words>
  <Characters>2296</Characters>
  <Application>Microsoft Office Word</Application>
  <DocSecurity>0</DocSecurity>
  <Lines>19</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Ступак</dc:creator>
  <cp:keywords/>
  <dc:description/>
  <cp:lastModifiedBy>Олена Ступак</cp:lastModifiedBy>
  <cp:revision>2</cp:revision>
  <dcterms:created xsi:type="dcterms:W3CDTF">2026-07-09T14:15:00Z</dcterms:created>
  <dcterms:modified xsi:type="dcterms:W3CDTF">2026-07-09T14:15:00Z</dcterms:modified>
</cp:coreProperties>
</file>