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05EE62"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b/>
          <w:bCs/>
          <w:kern w:val="0"/>
          <w:sz w:val="28"/>
          <w:szCs w:val="28"/>
        </w:rPr>
        <w:t>ТИТУЛЬНИЙ АРКУШ</w:t>
      </w:r>
    </w:p>
    <w:p w14:paraId="5C9717F1"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8"/>
          <w:szCs w:val="28"/>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230"/>
      </w:tblGrid>
      <w:tr w:rsidR="00000000" w14:paraId="293F8B96" w14:textId="77777777">
        <w:tblPrEx>
          <w:tblCellMar>
            <w:top w:w="0" w:type="dxa"/>
            <w:bottom w:w="0" w:type="dxa"/>
          </w:tblCellMar>
        </w:tblPrEx>
        <w:trPr>
          <w:trHeight w:val="300"/>
        </w:trPr>
        <w:tc>
          <w:tcPr>
            <w:tcW w:w="5230" w:type="dxa"/>
            <w:tcBorders>
              <w:top w:val="nil"/>
              <w:left w:val="nil"/>
              <w:bottom w:val="single" w:sz="6" w:space="0" w:color="auto"/>
              <w:right w:val="nil"/>
            </w:tcBorders>
            <w:vAlign w:val="bottom"/>
          </w:tcPr>
          <w:p w14:paraId="2B7E5996"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13.10.2026</w:t>
            </w:r>
          </w:p>
        </w:tc>
      </w:tr>
      <w:tr w:rsidR="00000000" w14:paraId="350D0B05" w14:textId="77777777">
        <w:tblPrEx>
          <w:tblBorders>
            <w:bottom w:val="none" w:sz="0" w:space="0" w:color="auto"/>
          </w:tblBorders>
          <w:tblCellMar>
            <w:top w:w="0" w:type="dxa"/>
            <w:bottom w:w="0" w:type="dxa"/>
          </w:tblCellMar>
        </w:tblPrEx>
        <w:trPr>
          <w:trHeight w:val="300"/>
        </w:trPr>
        <w:tc>
          <w:tcPr>
            <w:tcW w:w="5230" w:type="dxa"/>
            <w:tcBorders>
              <w:top w:val="nil"/>
              <w:left w:val="nil"/>
              <w:bottom w:val="nil"/>
              <w:right w:val="nil"/>
            </w:tcBorders>
            <w:vAlign w:val="bottom"/>
          </w:tcPr>
          <w:p w14:paraId="05DAC6E6"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(дата реєстрації емітентом електронного документа)</w:t>
            </w:r>
          </w:p>
        </w:tc>
      </w:tr>
      <w:tr w:rsidR="00000000" w14:paraId="7020C299" w14:textId="77777777">
        <w:tblPrEx>
          <w:tblCellMar>
            <w:top w:w="0" w:type="dxa"/>
            <w:bottom w:w="0" w:type="dxa"/>
          </w:tblCellMar>
        </w:tblPrEx>
        <w:trPr>
          <w:trHeight w:val="300"/>
        </w:trPr>
        <w:tc>
          <w:tcPr>
            <w:tcW w:w="5230" w:type="dxa"/>
            <w:tcBorders>
              <w:top w:val="nil"/>
              <w:left w:val="nil"/>
              <w:bottom w:val="single" w:sz="6" w:space="0" w:color="auto"/>
              <w:right w:val="nil"/>
            </w:tcBorders>
            <w:vAlign w:val="bottom"/>
          </w:tcPr>
          <w:p w14:paraId="506C91C3"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13/10-2</w:t>
            </w:r>
          </w:p>
        </w:tc>
      </w:tr>
      <w:tr w:rsidR="00000000" w14:paraId="429AA44D" w14:textId="77777777">
        <w:tblPrEx>
          <w:tblCellMar>
            <w:top w:w="0" w:type="dxa"/>
            <w:bottom w:w="0" w:type="dxa"/>
          </w:tblCellMar>
        </w:tblPrEx>
        <w:trPr>
          <w:trHeight w:val="300"/>
        </w:trPr>
        <w:tc>
          <w:tcPr>
            <w:tcW w:w="5230" w:type="dxa"/>
            <w:tcBorders>
              <w:top w:val="nil"/>
              <w:left w:val="nil"/>
              <w:bottom w:val="nil"/>
              <w:right w:val="nil"/>
            </w:tcBorders>
            <w:vAlign w:val="bottom"/>
          </w:tcPr>
          <w:p w14:paraId="33D662D7"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(вихідний реєстраційний номер електронного документа)</w:t>
            </w:r>
          </w:p>
        </w:tc>
      </w:tr>
    </w:tbl>
    <w:p w14:paraId="419E01C7" w14:textId="77777777" w:rsidR="00000000" w:rsidRDefault="00000000">
      <w:pPr>
        <w:widowControl w:val="0"/>
        <w:autoSpaceDE w:val="0"/>
        <w:autoSpaceDN w:val="0"/>
        <w:adjustRightInd w:val="0"/>
        <w:spacing w:after="0" w:line="240" w:lineRule="auto"/>
        <w:rPr>
          <w:rFonts w:ascii="Times New Roman" w:hAnsi="Times New Roman" w:cs="Times New Roman"/>
          <w:kern w:val="0"/>
          <w:sz w:val="20"/>
          <w:szCs w:val="20"/>
        </w:rPr>
      </w:pPr>
      <w:r>
        <w:rPr>
          <w:rFonts w:ascii="Times New Roman" w:hAnsi="Times New Roman" w:cs="Times New Roman"/>
          <w:kern w:val="0"/>
          <w:sz w:val="20"/>
          <w:szCs w:val="20"/>
        </w:rPr>
        <w:t xml:space="preserve">      </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465"/>
      </w:tblGrid>
      <w:tr w:rsidR="00000000" w14:paraId="3995B2A5" w14:textId="77777777">
        <w:tblPrEx>
          <w:tblCellMar>
            <w:top w:w="0" w:type="dxa"/>
            <w:bottom w:w="0" w:type="dxa"/>
          </w:tblCellMar>
        </w:tblPrEx>
        <w:trPr>
          <w:trHeight w:val="300"/>
        </w:trPr>
        <w:tc>
          <w:tcPr>
            <w:tcW w:w="10465" w:type="dxa"/>
            <w:tcBorders>
              <w:top w:val="nil"/>
              <w:left w:val="nil"/>
              <w:bottom w:val="nil"/>
              <w:right w:val="nil"/>
            </w:tcBorders>
            <w:vAlign w:val="bottom"/>
          </w:tcPr>
          <w:p w14:paraId="65B70708"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Підтверджую ідентичність та достовірність інформації, що розкрита відповідно до вимог Положення про розкриття інформації емітентами цінних паперів, а також особами, які надають забезпечення за такими цінними паперами (далі - Положення).</w:t>
            </w:r>
          </w:p>
        </w:tc>
      </w:tr>
    </w:tbl>
    <w:p w14:paraId="3EF33DA2"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3415"/>
        <w:gridCol w:w="236"/>
        <w:gridCol w:w="3334"/>
        <w:gridCol w:w="236"/>
        <w:gridCol w:w="3284"/>
      </w:tblGrid>
      <w:tr w:rsidR="00000000" w14:paraId="5311E440" w14:textId="77777777">
        <w:tblPrEx>
          <w:tblCellMar>
            <w:top w:w="0" w:type="dxa"/>
            <w:bottom w:w="0" w:type="dxa"/>
          </w:tblCellMar>
        </w:tblPrEx>
        <w:trPr>
          <w:trHeight w:val="200"/>
        </w:trPr>
        <w:tc>
          <w:tcPr>
            <w:tcW w:w="3415" w:type="dxa"/>
            <w:tcBorders>
              <w:top w:val="nil"/>
              <w:left w:val="nil"/>
              <w:bottom w:val="single" w:sz="6" w:space="0" w:color="auto"/>
              <w:right w:val="nil"/>
            </w:tcBorders>
            <w:vAlign w:val="bottom"/>
          </w:tcPr>
          <w:p w14:paraId="14903397"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Генеральний директор</w:t>
            </w:r>
          </w:p>
        </w:tc>
        <w:tc>
          <w:tcPr>
            <w:tcW w:w="216" w:type="dxa"/>
            <w:tcBorders>
              <w:top w:val="nil"/>
              <w:left w:val="nil"/>
              <w:bottom w:val="nil"/>
              <w:right w:val="nil"/>
            </w:tcBorders>
          </w:tcPr>
          <w:p w14:paraId="7B17E31F"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rPr>
            </w:pPr>
          </w:p>
        </w:tc>
        <w:tc>
          <w:tcPr>
            <w:tcW w:w="3334" w:type="dxa"/>
            <w:tcBorders>
              <w:top w:val="nil"/>
              <w:left w:val="nil"/>
              <w:bottom w:val="single" w:sz="6" w:space="0" w:color="auto"/>
              <w:right w:val="nil"/>
            </w:tcBorders>
            <w:vAlign w:val="bottom"/>
          </w:tcPr>
          <w:p w14:paraId="5E711019"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rPr>
            </w:pPr>
          </w:p>
        </w:tc>
        <w:tc>
          <w:tcPr>
            <w:tcW w:w="216" w:type="dxa"/>
            <w:tcBorders>
              <w:top w:val="nil"/>
              <w:left w:val="nil"/>
              <w:bottom w:val="nil"/>
              <w:right w:val="nil"/>
            </w:tcBorders>
          </w:tcPr>
          <w:p w14:paraId="32838864"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rPr>
            </w:pPr>
          </w:p>
        </w:tc>
        <w:tc>
          <w:tcPr>
            <w:tcW w:w="3284" w:type="dxa"/>
            <w:tcBorders>
              <w:top w:val="nil"/>
              <w:left w:val="nil"/>
              <w:bottom w:val="single" w:sz="6" w:space="0" w:color="auto"/>
              <w:right w:val="nil"/>
            </w:tcBorders>
            <w:vAlign w:val="bottom"/>
          </w:tcPr>
          <w:p w14:paraId="7B144116"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rPr>
            </w:pPr>
            <w:proofErr w:type="spellStart"/>
            <w:r>
              <w:rPr>
                <w:rFonts w:ascii="Times New Roman" w:hAnsi="Times New Roman" w:cs="Times New Roman"/>
                <w:kern w:val="0"/>
              </w:rPr>
              <w:t>Севостьянов</w:t>
            </w:r>
            <w:proofErr w:type="spellEnd"/>
            <w:r>
              <w:rPr>
                <w:rFonts w:ascii="Times New Roman" w:hAnsi="Times New Roman" w:cs="Times New Roman"/>
                <w:kern w:val="0"/>
              </w:rPr>
              <w:t xml:space="preserve"> Ю.Б.</w:t>
            </w:r>
          </w:p>
        </w:tc>
      </w:tr>
      <w:tr w:rsidR="00000000" w14:paraId="621226D7" w14:textId="77777777">
        <w:tblPrEx>
          <w:tblCellMar>
            <w:top w:w="0" w:type="dxa"/>
            <w:bottom w:w="0" w:type="dxa"/>
          </w:tblCellMar>
        </w:tblPrEx>
        <w:trPr>
          <w:trHeight w:val="200"/>
        </w:trPr>
        <w:tc>
          <w:tcPr>
            <w:tcW w:w="3415" w:type="dxa"/>
            <w:tcBorders>
              <w:top w:val="nil"/>
              <w:left w:val="nil"/>
              <w:bottom w:val="nil"/>
              <w:right w:val="nil"/>
            </w:tcBorders>
          </w:tcPr>
          <w:p w14:paraId="706E3D72"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(посада)</w:t>
            </w:r>
          </w:p>
        </w:tc>
        <w:tc>
          <w:tcPr>
            <w:tcW w:w="216" w:type="dxa"/>
            <w:tcBorders>
              <w:top w:val="nil"/>
              <w:left w:val="nil"/>
              <w:bottom w:val="nil"/>
              <w:right w:val="nil"/>
            </w:tcBorders>
          </w:tcPr>
          <w:p w14:paraId="50382238"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p>
        </w:tc>
        <w:tc>
          <w:tcPr>
            <w:tcW w:w="3334" w:type="dxa"/>
            <w:tcBorders>
              <w:top w:val="nil"/>
              <w:left w:val="nil"/>
              <w:bottom w:val="nil"/>
              <w:right w:val="nil"/>
            </w:tcBorders>
          </w:tcPr>
          <w:p w14:paraId="14859616"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(місце для накладання електронного підпису уповноваженої особи емітента/ особи, яка надає забезпечення, що базується на кваліфікованому сертифікаті відкритого ключа)</w:t>
            </w:r>
          </w:p>
        </w:tc>
        <w:tc>
          <w:tcPr>
            <w:tcW w:w="216" w:type="dxa"/>
            <w:tcBorders>
              <w:top w:val="nil"/>
              <w:left w:val="nil"/>
              <w:bottom w:val="nil"/>
              <w:right w:val="nil"/>
            </w:tcBorders>
          </w:tcPr>
          <w:p w14:paraId="63DB985E"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p>
        </w:tc>
        <w:tc>
          <w:tcPr>
            <w:tcW w:w="3284" w:type="dxa"/>
            <w:tcBorders>
              <w:top w:val="nil"/>
              <w:left w:val="nil"/>
              <w:bottom w:val="nil"/>
              <w:right w:val="nil"/>
            </w:tcBorders>
          </w:tcPr>
          <w:p w14:paraId="7A7127D6"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(прізвище та ініціали керівника або уповноваженої особи емітента)</w:t>
            </w:r>
          </w:p>
        </w:tc>
      </w:tr>
    </w:tbl>
    <w:p w14:paraId="6D68E7BC" w14:textId="77777777" w:rsidR="00000000" w:rsidRDefault="00000000">
      <w:pPr>
        <w:widowControl w:val="0"/>
        <w:autoSpaceDE w:val="0"/>
        <w:autoSpaceDN w:val="0"/>
        <w:adjustRightInd w:val="0"/>
        <w:spacing w:after="0" w:line="240" w:lineRule="auto"/>
        <w:rPr>
          <w:rFonts w:ascii="Times New Roman" w:hAnsi="Times New Roman" w:cs="Times New Roman"/>
          <w:kern w:val="0"/>
          <w:sz w:val="20"/>
          <w:szCs w:val="20"/>
        </w:rPr>
      </w:pPr>
    </w:p>
    <w:p w14:paraId="6C8F0B22" w14:textId="77777777" w:rsidR="00000000" w:rsidRDefault="00000000">
      <w:pPr>
        <w:widowControl w:val="0"/>
        <w:autoSpaceDE w:val="0"/>
        <w:autoSpaceDN w:val="0"/>
        <w:adjustRightInd w:val="0"/>
        <w:spacing w:after="0" w:line="240" w:lineRule="auto"/>
        <w:jc w:val="center"/>
        <w:rPr>
          <w:rFonts w:ascii="Times New Roman" w:hAnsi="Times New Roman" w:cs="Times New Roman"/>
          <w:b/>
          <w:bCs/>
          <w:kern w:val="0"/>
          <w:sz w:val="28"/>
          <w:szCs w:val="28"/>
        </w:rPr>
      </w:pPr>
      <w:r>
        <w:rPr>
          <w:rFonts w:ascii="Times New Roman" w:hAnsi="Times New Roman" w:cs="Times New Roman"/>
          <w:b/>
          <w:bCs/>
          <w:kern w:val="0"/>
          <w:sz w:val="28"/>
          <w:szCs w:val="28"/>
        </w:rPr>
        <w:t>Особлива інформація / інформація про іпотечні цінні папери/ сертифікати фонду операцій з нерухомістю емітента</w:t>
      </w:r>
    </w:p>
    <w:p w14:paraId="46AB10A9" w14:textId="77777777" w:rsidR="00000000" w:rsidRDefault="00000000">
      <w:pPr>
        <w:widowControl w:val="0"/>
        <w:autoSpaceDE w:val="0"/>
        <w:autoSpaceDN w:val="0"/>
        <w:adjustRightInd w:val="0"/>
        <w:spacing w:after="0" w:line="240" w:lineRule="auto"/>
        <w:rPr>
          <w:rFonts w:ascii="Times New Roman" w:hAnsi="Times New Roman" w:cs="Times New Roman"/>
          <w:b/>
          <w:bCs/>
          <w:kern w:val="0"/>
          <w:sz w:val="28"/>
          <w:szCs w:val="28"/>
        </w:rPr>
      </w:pPr>
    </w:p>
    <w:p w14:paraId="2BAB003B"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b/>
          <w:bCs/>
          <w:kern w:val="0"/>
        </w:rPr>
        <w:t>І. Загальні відомості</w:t>
      </w:r>
    </w:p>
    <w:p w14:paraId="5A34B34B" w14:textId="77777777" w:rsidR="00000000" w:rsidRDefault="00000000">
      <w:pPr>
        <w:widowControl w:val="0"/>
        <w:autoSpaceDE w:val="0"/>
        <w:autoSpaceDN w:val="0"/>
        <w:adjustRightInd w:val="0"/>
        <w:spacing w:after="0" w:line="240" w:lineRule="auto"/>
        <w:jc w:val="both"/>
        <w:rPr>
          <w:rFonts w:ascii="Times New Roman" w:hAnsi="Times New Roman" w:cs="Times New Roman"/>
          <w:kern w:val="0"/>
        </w:rPr>
      </w:pPr>
      <w:r>
        <w:rPr>
          <w:rFonts w:ascii="Times New Roman" w:hAnsi="Times New Roman" w:cs="Times New Roman"/>
          <w:kern w:val="0"/>
        </w:rPr>
        <w:t>1. Повне найменування: Приватне акціонерне товариство «Факел»</w:t>
      </w:r>
    </w:p>
    <w:p w14:paraId="32CF389C"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 Організаційно-правова форма: Акціонерне товариство</w:t>
      </w:r>
    </w:p>
    <w:p w14:paraId="52BB95E2"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 xml:space="preserve">3. Місцезнаходження: 08500, Київська обл., м. Фастів, </w:t>
      </w:r>
      <w:proofErr w:type="spellStart"/>
      <w:r>
        <w:rPr>
          <w:rFonts w:ascii="Times New Roman" w:hAnsi="Times New Roman" w:cs="Times New Roman"/>
          <w:kern w:val="0"/>
        </w:rPr>
        <w:t>пл</w:t>
      </w:r>
      <w:proofErr w:type="spellEnd"/>
      <w:r>
        <w:rPr>
          <w:rFonts w:ascii="Times New Roman" w:hAnsi="Times New Roman" w:cs="Times New Roman"/>
          <w:kern w:val="0"/>
        </w:rPr>
        <w:t>. Промвузол</w:t>
      </w:r>
    </w:p>
    <w:p w14:paraId="0171D772"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4. Ідентифікаційний код юридичної особи: 04601469</w:t>
      </w:r>
    </w:p>
    <w:p w14:paraId="0762E9D0"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5. Міжміський код та номер телефону: (045) 656-67-60, (045) 656-67-62</w:t>
      </w:r>
    </w:p>
    <w:p w14:paraId="78B08948"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6. Адреса електронної пошти, яка є офіційним каналом зв’язку: info@fakel.ua</w:t>
      </w:r>
    </w:p>
    <w:p w14:paraId="278F87C1"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 xml:space="preserve">7. Повне найменування, ідентифікаційний код юридичної особи, країна реєстрації юридичної особи та номер свідоцтва про включення до Реєстру осіб, уповноважених надавати інформаційні послуги на ринках капіталу та організованих товарних ринках особи, яка провадить діяльність з оприлюднення регульованої інформації від імені учасників ринків капіталу та професійних учасників організованих товарних ринків (у разі здійснення оприлюднення): </w:t>
      </w:r>
    </w:p>
    <w:p w14:paraId="4857CB42"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8. Повне найменування, ідентифікаційний код юридичної особи, країна реєстрації юридичної особи та номер свідоцтва про включення до Реєстру осіб, уповноважених надавати інформаційні послуги на ринках капіталу та організованих товарних ринках, особи, яка здійснює подання звітності та/або звітних даних до НКЦПФР (у разі, якщо емітент не подає інформацію до НКЦПФР безпосередньо): Державна установа "Агентство з розвитку інфраструктури фондового ринку України", 21676262, Україна, DR/00002/ARM</w:t>
      </w:r>
    </w:p>
    <w:p w14:paraId="6B1D7C24"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653050C2" w14:textId="77777777" w:rsidR="00000000" w:rsidRDefault="00000000">
      <w:pPr>
        <w:widowControl w:val="0"/>
        <w:autoSpaceDE w:val="0"/>
        <w:autoSpaceDN w:val="0"/>
        <w:adjustRightInd w:val="0"/>
        <w:spacing w:after="0" w:line="240" w:lineRule="auto"/>
        <w:jc w:val="center"/>
        <w:rPr>
          <w:rFonts w:ascii="Times New Roman" w:hAnsi="Times New Roman" w:cs="Times New Roman"/>
          <w:b/>
          <w:bCs/>
          <w:kern w:val="0"/>
        </w:rPr>
      </w:pPr>
      <w:r>
        <w:rPr>
          <w:rFonts w:ascii="Times New Roman" w:hAnsi="Times New Roman" w:cs="Times New Roman"/>
          <w:b/>
          <w:bCs/>
          <w:kern w:val="0"/>
        </w:rPr>
        <w:t xml:space="preserve">ІІ. Дані про дату та місце оприлюднення інформації </w:t>
      </w:r>
    </w:p>
    <w:p w14:paraId="09972109" w14:textId="77777777" w:rsidR="00000000" w:rsidRDefault="00000000">
      <w:pPr>
        <w:widowControl w:val="0"/>
        <w:autoSpaceDE w:val="0"/>
        <w:autoSpaceDN w:val="0"/>
        <w:adjustRightInd w:val="0"/>
        <w:spacing w:after="0" w:line="240" w:lineRule="auto"/>
        <w:jc w:val="center"/>
        <w:rPr>
          <w:rFonts w:ascii="Times New Roman" w:hAnsi="Times New Roman" w:cs="Times New Roman"/>
          <w:b/>
          <w:bCs/>
          <w:kern w:val="0"/>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3415"/>
        <w:gridCol w:w="5165"/>
        <w:gridCol w:w="1885"/>
      </w:tblGrid>
      <w:tr w:rsidR="00000000" w14:paraId="2E991EA3" w14:textId="77777777">
        <w:tblPrEx>
          <w:tblCellMar>
            <w:top w:w="0" w:type="dxa"/>
            <w:bottom w:w="0" w:type="dxa"/>
          </w:tblCellMar>
        </w:tblPrEx>
        <w:trPr>
          <w:trHeight w:val="300"/>
        </w:trPr>
        <w:tc>
          <w:tcPr>
            <w:tcW w:w="3415" w:type="dxa"/>
            <w:vMerge w:val="restart"/>
            <w:tcBorders>
              <w:top w:val="nil"/>
              <w:left w:val="nil"/>
              <w:bottom w:val="nil"/>
              <w:right w:val="nil"/>
            </w:tcBorders>
          </w:tcPr>
          <w:p w14:paraId="05DB01BB"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Інформація розміщена на власному вебсайті емітента</w:t>
            </w:r>
          </w:p>
        </w:tc>
        <w:tc>
          <w:tcPr>
            <w:tcW w:w="5165" w:type="dxa"/>
            <w:tcBorders>
              <w:top w:val="nil"/>
              <w:left w:val="nil"/>
              <w:bottom w:val="single" w:sz="6" w:space="0" w:color="auto"/>
              <w:right w:val="nil"/>
            </w:tcBorders>
            <w:vAlign w:val="bottom"/>
          </w:tcPr>
          <w:p w14:paraId="3DDE23E6"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https://www.fakel.ua/ua/accounts/</w:t>
            </w:r>
          </w:p>
        </w:tc>
        <w:tc>
          <w:tcPr>
            <w:tcW w:w="1885" w:type="dxa"/>
            <w:tcBorders>
              <w:top w:val="nil"/>
              <w:left w:val="nil"/>
              <w:bottom w:val="single" w:sz="6" w:space="0" w:color="auto"/>
              <w:right w:val="nil"/>
            </w:tcBorders>
            <w:vAlign w:val="bottom"/>
          </w:tcPr>
          <w:p w14:paraId="0E13F48B"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13.10.2026</w:t>
            </w:r>
          </w:p>
        </w:tc>
      </w:tr>
      <w:tr w:rsidR="00000000" w14:paraId="03DCA44F" w14:textId="77777777">
        <w:tblPrEx>
          <w:tblCellMar>
            <w:top w:w="0" w:type="dxa"/>
            <w:bottom w:w="0" w:type="dxa"/>
          </w:tblCellMar>
        </w:tblPrEx>
        <w:trPr>
          <w:trHeight w:val="300"/>
        </w:trPr>
        <w:tc>
          <w:tcPr>
            <w:tcW w:w="3415" w:type="dxa"/>
            <w:vMerge/>
            <w:tcBorders>
              <w:top w:val="nil"/>
              <w:left w:val="nil"/>
              <w:bottom w:val="nil"/>
              <w:right w:val="nil"/>
            </w:tcBorders>
          </w:tcPr>
          <w:p w14:paraId="43391826" w14:textId="77777777" w:rsidR="00000000" w:rsidRDefault="00000000">
            <w:pPr>
              <w:widowControl w:val="0"/>
              <w:autoSpaceDE w:val="0"/>
              <w:autoSpaceDN w:val="0"/>
              <w:adjustRightInd w:val="0"/>
              <w:spacing w:after="0" w:line="240" w:lineRule="auto"/>
              <w:rPr>
                <w:rFonts w:ascii="Times New Roman" w:hAnsi="Times New Roman" w:cs="Times New Roman"/>
                <w:kern w:val="0"/>
                <w:sz w:val="20"/>
                <w:szCs w:val="20"/>
              </w:rPr>
            </w:pPr>
          </w:p>
        </w:tc>
        <w:tc>
          <w:tcPr>
            <w:tcW w:w="5165" w:type="dxa"/>
            <w:tcBorders>
              <w:top w:val="nil"/>
              <w:left w:val="nil"/>
              <w:bottom w:val="nil"/>
              <w:right w:val="nil"/>
            </w:tcBorders>
            <w:vAlign w:val="bottom"/>
          </w:tcPr>
          <w:p w14:paraId="006047D8"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(URL-адреса вебсайту)</w:t>
            </w:r>
          </w:p>
        </w:tc>
        <w:tc>
          <w:tcPr>
            <w:tcW w:w="1885" w:type="dxa"/>
            <w:tcBorders>
              <w:top w:val="nil"/>
              <w:left w:val="nil"/>
              <w:bottom w:val="nil"/>
              <w:right w:val="nil"/>
            </w:tcBorders>
            <w:vAlign w:val="bottom"/>
          </w:tcPr>
          <w:p w14:paraId="08B0DB60"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(дата)</w:t>
            </w:r>
          </w:p>
        </w:tc>
      </w:tr>
    </w:tbl>
    <w:p w14:paraId="42980F8E" w14:textId="77777777" w:rsidR="00000000" w:rsidRDefault="00000000">
      <w:pPr>
        <w:widowControl w:val="0"/>
        <w:autoSpaceDE w:val="0"/>
        <w:autoSpaceDN w:val="0"/>
        <w:adjustRightInd w:val="0"/>
        <w:spacing w:after="0" w:line="240" w:lineRule="auto"/>
        <w:rPr>
          <w:rFonts w:ascii="Times New Roman" w:hAnsi="Times New Roman" w:cs="Times New Roman"/>
          <w:kern w:val="0"/>
          <w:sz w:val="20"/>
          <w:szCs w:val="20"/>
        </w:rPr>
        <w:sectPr w:rsidR="00000000">
          <w:footerReference w:type="default" r:id="rId6"/>
          <w:pgSz w:w="11905" w:h="16837"/>
          <w:pgMar w:top="570" w:right="720" w:bottom="570" w:left="720" w:header="708" w:footer="360" w:gutter="0"/>
          <w:pgNumType w:start="1"/>
          <w:cols w:space="720"/>
          <w:noEndnote/>
        </w:sectPr>
      </w:pPr>
    </w:p>
    <w:p w14:paraId="5E999341" w14:textId="77777777" w:rsidR="00000000" w:rsidRDefault="00000000">
      <w:pPr>
        <w:widowControl w:val="0"/>
        <w:autoSpaceDE w:val="0"/>
        <w:autoSpaceDN w:val="0"/>
        <w:adjustRightInd w:val="0"/>
        <w:spacing w:after="0" w:line="240" w:lineRule="auto"/>
        <w:jc w:val="center"/>
        <w:rPr>
          <w:rFonts w:ascii="Times New Roman" w:hAnsi="Times New Roman" w:cs="Times New Roman"/>
          <w:b/>
          <w:bCs/>
          <w:kern w:val="0"/>
          <w:sz w:val="28"/>
          <w:szCs w:val="28"/>
        </w:rPr>
      </w:pPr>
      <w:r>
        <w:rPr>
          <w:rFonts w:ascii="Times New Roman" w:hAnsi="Times New Roman" w:cs="Times New Roman"/>
          <w:b/>
          <w:bCs/>
          <w:kern w:val="0"/>
          <w:sz w:val="28"/>
          <w:szCs w:val="28"/>
        </w:rPr>
        <w:lastRenderedPageBreak/>
        <w:t>ВІДОМОСТІ</w:t>
      </w:r>
    </w:p>
    <w:p w14:paraId="44B3014D"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b/>
          <w:bCs/>
          <w:kern w:val="0"/>
          <w:sz w:val="28"/>
          <w:szCs w:val="28"/>
        </w:rPr>
        <w:t>про прийняття рішення про розміщення цінних паперів на суму, що перевищує 25 відсотків статутного капіталу</w:t>
      </w:r>
    </w:p>
    <w:p w14:paraId="2245B4E6"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8"/>
          <w:szCs w:val="28"/>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00"/>
        <w:gridCol w:w="1500"/>
        <w:gridCol w:w="2500"/>
        <w:gridCol w:w="2000"/>
        <w:gridCol w:w="2000"/>
        <w:gridCol w:w="1965"/>
      </w:tblGrid>
      <w:tr w:rsidR="00000000" w14:paraId="496CC7B2" w14:textId="77777777">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14:paraId="6739B1CC" w14:textId="77777777" w:rsidR="00000000" w:rsidRDefault="00000000">
            <w:pPr>
              <w:widowControl w:val="0"/>
              <w:autoSpaceDE w:val="0"/>
              <w:autoSpaceDN w:val="0"/>
              <w:adjustRightInd w:val="0"/>
              <w:spacing w:after="0" w:line="240" w:lineRule="auto"/>
              <w:jc w:val="center"/>
              <w:rPr>
                <w:rFonts w:ascii="Times New Roman" w:hAnsi="Times New Roman" w:cs="Times New Roman"/>
                <w:b/>
                <w:bCs/>
                <w:kern w:val="0"/>
                <w:sz w:val="20"/>
                <w:szCs w:val="20"/>
              </w:rPr>
            </w:pPr>
            <w:r>
              <w:rPr>
                <w:rFonts w:ascii="Times New Roman" w:hAnsi="Times New Roman" w:cs="Times New Roman"/>
                <w:b/>
                <w:bCs/>
                <w:kern w:val="0"/>
                <w:sz w:val="20"/>
                <w:szCs w:val="20"/>
              </w:rPr>
              <w:t>№ з/п</w:t>
            </w:r>
          </w:p>
        </w:tc>
        <w:tc>
          <w:tcPr>
            <w:tcW w:w="1500" w:type="dxa"/>
            <w:tcBorders>
              <w:top w:val="single" w:sz="6" w:space="0" w:color="auto"/>
              <w:left w:val="single" w:sz="6" w:space="0" w:color="auto"/>
              <w:bottom w:val="single" w:sz="6" w:space="0" w:color="auto"/>
              <w:right w:val="single" w:sz="6" w:space="0" w:color="auto"/>
            </w:tcBorders>
            <w:vAlign w:val="center"/>
          </w:tcPr>
          <w:p w14:paraId="2B66BB93" w14:textId="77777777" w:rsidR="00000000" w:rsidRDefault="00000000">
            <w:pPr>
              <w:widowControl w:val="0"/>
              <w:autoSpaceDE w:val="0"/>
              <w:autoSpaceDN w:val="0"/>
              <w:adjustRightInd w:val="0"/>
              <w:spacing w:after="0" w:line="240" w:lineRule="auto"/>
              <w:jc w:val="center"/>
              <w:rPr>
                <w:rFonts w:ascii="Times New Roman" w:hAnsi="Times New Roman" w:cs="Times New Roman"/>
                <w:b/>
                <w:bCs/>
                <w:kern w:val="0"/>
                <w:sz w:val="20"/>
                <w:szCs w:val="20"/>
              </w:rPr>
            </w:pPr>
            <w:r>
              <w:rPr>
                <w:rFonts w:ascii="Times New Roman" w:hAnsi="Times New Roman" w:cs="Times New Roman"/>
                <w:b/>
                <w:bCs/>
                <w:kern w:val="0"/>
                <w:sz w:val="20"/>
                <w:szCs w:val="20"/>
              </w:rPr>
              <w:t>Дата прийняття рішення</w:t>
            </w:r>
          </w:p>
        </w:tc>
        <w:tc>
          <w:tcPr>
            <w:tcW w:w="2500" w:type="dxa"/>
            <w:tcBorders>
              <w:top w:val="single" w:sz="6" w:space="0" w:color="auto"/>
              <w:left w:val="single" w:sz="6" w:space="0" w:color="auto"/>
              <w:bottom w:val="single" w:sz="6" w:space="0" w:color="auto"/>
              <w:right w:val="single" w:sz="6" w:space="0" w:color="auto"/>
            </w:tcBorders>
            <w:vAlign w:val="center"/>
          </w:tcPr>
          <w:p w14:paraId="1F36AF6D" w14:textId="77777777" w:rsidR="00000000" w:rsidRDefault="00000000">
            <w:pPr>
              <w:widowControl w:val="0"/>
              <w:autoSpaceDE w:val="0"/>
              <w:autoSpaceDN w:val="0"/>
              <w:adjustRightInd w:val="0"/>
              <w:spacing w:after="0" w:line="240" w:lineRule="auto"/>
              <w:jc w:val="center"/>
              <w:rPr>
                <w:rFonts w:ascii="Times New Roman" w:hAnsi="Times New Roman" w:cs="Times New Roman"/>
                <w:b/>
                <w:bCs/>
                <w:kern w:val="0"/>
                <w:sz w:val="20"/>
                <w:szCs w:val="20"/>
              </w:rPr>
            </w:pPr>
            <w:r>
              <w:rPr>
                <w:rFonts w:ascii="Times New Roman" w:hAnsi="Times New Roman" w:cs="Times New Roman"/>
                <w:b/>
                <w:bCs/>
                <w:kern w:val="0"/>
                <w:sz w:val="20"/>
                <w:szCs w:val="20"/>
              </w:rPr>
              <w:t>Вид цінних паперів, що розміщуються</w:t>
            </w:r>
          </w:p>
        </w:tc>
        <w:tc>
          <w:tcPr>
            <w:tcW w:w="2000" w:type="dxa"/>
            <w:tcBorders>
              <w:top w:val="single" w:sz="6" w:space="0" w:color="auto"/>
              <w:left w:val="single" w:sz="6" w:space="0" w:color="auto"/>
              <w:bottom w:val="single" w:sz="6" w:space="0" w:color="auto"/>
              <w:right w:val="single" w:sz="6" w:space="0" w:color="auto"/>
            </w:tcBorders>
            <w:vAlign w:val="center"/>
          </w:tcPr>
          <w:p w14:paraId="0FF4A4D8" w14:textId="77777777" w:rsidR="00000000" w:rsidRDefault="00000000">
            <w:pPr>
              <w:widowControl w:val="0"/>
              <w:autoSpaceDE w:val="0"/>
              <w:autoSpaceDN w:val="0"/>
              <w:adjustRightInd w:val="0"/>
              <w:spacing w:after="0" w:line="240" w:lineRule="auto"/>
              <w:jc w:val="center"/>
              <w:rPr>
                <w:rFonts w:ascii="Times New Roman" w:hAnsi="Times New Roman" w:cs="Times New Roman"/>
                <w:b/>
                <w:bCs/>
                <w:kern w:val="0"/>
                <w:sz w:val="20"/>
                <w:szCs w:val="20"/>
              </w:rPr>
            </w:pPr>
            <w:r>
              <w:rPr>
                <w:rFonts w:ascii="Times New Roman" w:hAnsi="Times New Roman" w:cs="Times New Roman"/>
                <w:b/>
                <w:bCs/>
                <w:kern w:val="0"/>
                <w:sz w:val="20"/>
                <w:szCs w:val="20"/>
              </w:rPr>
              <w:t>Кількість цінних паперів, що розміщуються, шт.</w:t>
            </w:r>
          </w:p>
        </w:tc>
        <w:tc>
          <w:tcPr>
            <w:tcW w:w="2000" w:type="dxa"/>
            <w:tcBorders>
              <w:top w:val="single" w:sz="6" w:space="0" w:color="auto"/>
              <w:left w:val="single" w:sz="6" w:space="0" w:color="auto"/>
              <w:bottom w:val="single" w:sz="6" w:space="0" w:color="auto"/>
              <w:right w:val="single" w:sz="6" w:space="0" w:color="auto"/>
            </w:tcBorders>
            <w:vAlign w:val="center"/>
          </w:tcPr>
          <w:p w14:paraId="3764A772" w14:textId="77777777" w:rsidR="00000000" w:rsidRDefault="00000000">
            <w:pPr>
              <w:widowControl w:val="0"/>
              <w:autoSpaceDE w:val="0"/>
              <w:autoSpaceDN w:val="0"/>
              <w:adjustRightInd w:val="0"/>
              <w:spacing w:after="0" w:line="240" w:lineRule="auto"/>
              <w:jc w:val="center"/>
              <w:rPr>
                <w:rFonts w:ascii="Times New Roman" w:hAnsi="Times New Roman" w:cs="Times New Roman"/>
                <w:b/>
                <w:bCs/>
                <w:kern w:val="0"/>
                <w:sz w:val="20"/>
                <w:szCs w:val="20"/>
              </w:rPr>
            </w:pPr>
            <w:r>
              <w:rPr>
                <w:rFonts w:ascii="Times New Roman" w:hAnsi="Times New Roman" w:cs="Times New Roman"/>
                <w:b/>
                <w:bCs/>
                <w:kern w:val="0"/>
                <w:sz w:val="20"/>
                <w:szCs w:val="20"/>
              </w:rPr>
              <w:t xml:space="preserve">Сума цінних паперів, що розміщуються, </w:t>
            </w:r>
            <w:proofErr w:type="spellStart"/>
            <w:r>
              <w:rPr>
                <w:rFonts w:ascii="Times New Roman" w:hAnsi="Times New Roman" w:cs="Times New Roman"/>
                <w:b/>
                <w:bCs/>
                <w:kern w:val="0"/>
                <w:sz w:val="20"/>
                <w:szCs w:val="20"/>
              </w:rPr>
              <w:t>тис.грн</w:t>
            </w:r>
            <w:proofErr w:type="spellEnd"/>
          </w:p>
        </w:tc>
        <w:tc>
          <w:tcPr>
            <w:tcW w:w="1965" w:type="dxa"/>
            <w:tcBorders>
              <w:top w:val="single" w:sz="6" w:space="0" w:color="auto"/>
              <w:left w:val="single" w:sz="6" w:space="0" w:color="auto"/>
              <w:bottom w:val="single" w:sz="6" w:space="0" w:color="auto"/>
            </w:tcBorders>
            <w:vAlign w:val="center"/>
          </w:tcPr>
          <w:p w14:paraId="2B788400"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b/>
                <w:bCs/>
                <w:kern w:val="0"/>
                <w:sz w:val="20"/>
                <w:szCs w:val="20"/>
              </w:rPr>
              <w:t>Частка від статутного капіталу (у відсотках)</w:t>
            </w:r>
          </w:p>
        </w:tc>
      </w:tr>
      <w:tr w:rsidR="00000000" w14:paraId="260AB0A6" w14:textId="77777777">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14:paraId="6D35CD61"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1</w:t>
            </w:r>
          </w:p>
        </w:tc>
        <w:tc>
          <w:tcPr>
            <w:tcW w:w="1500" w:type="dxa"/>
            <w:tcBorders>
              <w:top w:val="single" w:sz="6" w:space="0" w:color="auto"/>
              <w:left w:val="single" w:sz="6" w:space="0" w:color="auto"/>
              <w:bottom w:val="single" w:sz="6" w:space="0" w:color="auto"/>
              <w:right w:val="single" w:sz="6" w:space="0" w:color="auto"/>
            </w:tcBorders>
            <w:vAlign w:val="center"/>
          </w:tcPr>
          <w:p w14:paraId="4414FAA6"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2</w:t>
            </w:r>
          </w:p>
        </w:tc>
        <w:tc>
          <w:tcPr>
            <w:tcW w:w="2500" w:type="dxa"/>
            <w:tcBorders>
              <w:top w:val="single" w:sz="6" w:space="0" w:color="auto"/>
              <w:left w:val="single" w:sz="6" w:space="0" w:color="auto"/>
              <w:bottom w:val="single" w:sz="6" w:space="0" w:color="auto"/>
              <w:right w:val="single" w:sz="6" w:space="0" w:color="auto"/>
            </w:tcBorders>
            <w:vAlign w:val="center"/>
          </w:tcPr>
          <w:p w14:paraId="73E0883F"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3</w:t>
            </w:r>
          </w:p>
        </w:tc>
        <w:tc>
          <w:tcPr>
            <w:tcW w:w="2000" w:type="dxa"/>
            <w:tcBorders>
              <w:top w:val="single" w:sz="6" w:space="0" w:color="auto"/>
              <w:left w:val="single" w:sz="6" w:space="0" w:color="auto"/>
              <w:bottom w:val="single" w:sz="6" w:space="0" w:color="auto"/>
              <w:right w:val="single" w:sz="6" w:space="0" w:color="auto"/>
            </w:tcBorders>
            <w:vAlign w:val="center"/>
          </w:tcPr>
          <w:p w14:paraId="07D7BFD8"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4</w:t>
            </w:r>
          </w:p>
        </w:tc>
        <w:tc>
          <w:tcPr>
            <w:tcW w:w="2000" w:type="dxa"/>
            <w:tcBorders>
              <w:top w:val="single" w:sz="6" w:space="0" w:color="auto"/>
              <w:left w:val="single" w:sz="6" w:space="0" w:color="auto"/>
              <w:bottom w:val="single" w:sz="6" w:space="0" w:color="auto"/>
              <w:right w:val="single" w:sz="6" w:space="0" w:color="auto"/>
            </w:tcBorders>
            <w:vAlign w:val="center"/>
          </w:tcPr>
          <w:p w14:paraId="7AE764C2"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5</w:t>
            </w:r>
          </w:p>
        </w:tc>
        <w:tc>
          <w:tcPr>
            <w:tcW w:w="1965" w:type="dxa"/>
            <w:tcBorders>
              <w:top w:val="single" w:sz="6" w:space="0" w:color="auto"/>
              <w:left w:val="single" w:sz="6" w:space="0" w:color="auto"/>
              <w:bottom w:val="single" w:sz="6" w:space="0" w:color="auto"/>
            </w:tcBorders>
            <w:vAlign w:val="center"/>
          </w:tcPr>
          <w:p w14:paraId="1A115586"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6</w:t>
            </w:r>
          </w:p>
        </w:tc>
      </w:tr>
      <w:tr w:rsidR="00000000" w14:paraId="6233F407" w14:textId="77777777">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tcPr>
          <w:p w14:paraId="0327A846"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1</w:t>
            </w:r>
          </w:p>
        </w:tc>
        <w:tc>
          <w:tcPr>
            <w:tcW w:w="1500" w:type="dxa"/>
            <w:tcBorders>
              <w:top w:val="single" w:sz="6" w:space="0" w:color="auto"/>
              <w:left w:val="single" w:sz="6" w:space="0" w:color="auto"/>
              <w:bottom w:val="single" w:sz="6" w:space="0" w:color="auto"/>
              <w:right w:val="single" w:sz="6" w:space="0" w:color="auto"/>
            </w:tcBorders>
          </w:tcPr>
          <w:p w14:paraId="236F4259"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12.10.2026</w:t>
            </w:r>
          </w:p>
        </w:tc>
        <w:tc>
          <w:tcPr>
            <w:tcW w:w="2500" w:type="dxa"/>
            <w:tcBorders>
              <w:top w:val="single" w:sz="6" w:space="0" w:color="auto"/>
              <w:left w:val="single" w:sz="6" w:space="0" w:color="auto"/>
              <w:bottom w:val="single" w:sz="6" w:space="0" w:color="auto"/>
              <w:right w:val="single" w:sz="6" w:space="0" w:color="auto"/>
            </w:tcBorders>
          </w:tcPr>
          <w:p w14:paraId="7E511DA8"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Акція проста</w:t>
            </w:r>
          </w:p>
        </w:tc>
        <w:tc>
          <w:tcPr>
            <w:tcW w:w="2000" w:type="dxa"/>
            <w:tcBorders>
              <w:top w:val="single" w:sz="6" w:space="0" w:color="auto"/>
              <w:left w:val="single" w:sz="6" w:space="0" w:color="auto"/>
              <w:bottom w:val="single" w:sz="6" w:space="0" w:color="auto"/>
              <w:right w:val="single" w:sz="6" w:space="0" w:color="auto"/>
            </w:tcBorders>
          </w:tcPr>
          <w:p w14:paraId="08EBB843"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5 172 414</w:t>
            </w:r>
          </w:p>
        </w:tc>
        <w:tc>
          <w:tcPr>
            <w:tcW w:w="2000" w:type="dxa"/>
            <w:tcBorders>
              <w:top w:val="single" w:sz="6" w:space="0" w:color="auto"/>
              <w:left w:val="single" w:sz="6" w:space="0" w:color="auto"/>
              <w:bottom w:val="single" w:sz="6" w:space="0" w:color="auto"/>
              <w:right w:val="single" w:sz="6" w:space="0" w:color="auto"/>
            </w:tcBorders>
          </w:tcPr>
          <w:p w14:paraId="56088A20"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24 000</w:t>
            </w:r>
          </w:p>
        </w:tc>
        <w:tc>
          <w:tcPr>
            <w:tcW w:w="1965" w:type="dxa"/>
            <w:tcBorders>
              <w:top w:val="single" w:sz="6" w:space="0" w:color="auto"/>
              <w:left w:val="single" w:sz="6" w:space="0" w:color="auto"/>
              <w:bottom w:val="single" w:sz="6" w:space="0" w:color="auto"/>
            </w:tcBorders>
          </w:tcPr>
          <w:p w14:paraId="20A7D8C6"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107,2</w:t>
            </w:r>
          </w:p>
        </w:tc>
      </w:tr>
      <w:tr w:rsidR="00000000" w14:paraId="023A77C4" w14:textId="77777777">
        <w:tblPrEx>
          <w:tblCellMar>
            <w:top w:w="0" w:type="dxa"/>
            <w:bottom w:w="0" w:type="dxa"/>
          </w:tblCellMar>
        </w:tblPrEx>
        <w:trPr>
          <w:trHeight w:val="300"/>
        </w:trPr>
        <w:tc>
          <w:tcPr>
            <w:tcW w:w="10465" w:type="dxa"/>
            <w:gridSpan w:val="6"/>
            <w:tcBorders>
              <w:top w:val="single" w:sz="6" w:space="0" w:color="auto"/>
              <w:bottom w:val="single" w:sz="6" w:space="0" w:color="auto"/>
            </w:tcBorders>
            <w:vAlign w:val="center"/>
          </w:tcPr>
          <w:p w14:paraId="7E25910C" w14:textId="77777777" w:rsidR="00000000" w:rsidRDefault="00000000">
            <w:pPr>
              <w:widowControl w:val="0"/>
              <w:autoSpaceDE w:val="0"/>
              <w:autoSpaceDN w:val="0"/>
              <w:adjustRightInd w:val="0"/>
              <w:spacing w:after="0" w:line="240" w:lineRule="auto"/>
              <w:rPr>
                <w:rFonts w:ascii="Times New Roman" w:hAnsi="Times New Roman" w:cs="Times New Roman"/>
                <w:b/>
                <w:bCs/>
                <w:kern w:val="0"/>
                <w:sz w:val="20"/>
                <w:szCs w:val="20"/>
              </w:rPr>
            </w:pPr>
            <w:r>
              <w:rPr>
                <w:rFonts w:ascii="Times New Roman" w:hAnsi="Times New Roman" w:cs="Times New Roman"/>
                <w:b/>
                <w:bCs/>
                <w:kern w:val="0"/>
                <w:sz w:val="20"/>
                <w:szCs w:val="20"/>
              </w:rPr>
              <w:t>Додаткова інформація, необхідна для повного і точного розкриття інформації про дію:</w:t>
            </w:r>
          </w:p>
        </w:tc>
      </w:tr>
      <w:tr w:rsidR="00000000" w14:paraId="56B30A52" w14:textId="77777777">
        <w:tblPrEx>
          <w:tblCellMar>
            <w:top w:w="0" w:type="dxa"/>
            <w:bottom w:w="0" w:type="dxa"/>
          </w:tblCellMar>
        </w:tblPrEx>
        <w:trPr>
          <w:trHeight w:val="300"/>
        </w:trPr>
        <w:tc>
          <w:tcPr>
            <w:tcW w:w="10465" w:type="dxa"/>
            <w:gridSpan w:val="6"/>
            <w:tcBorders>
              <w:top w:val="single" w:sz="6" w:space="0" w:color="auto"/>
              <w:bottom w:val="single" w:sz="6" w:space="0" w:color="auto"/>
            </w:tcBorders>
            <w:vAlign w:val="center"/>
          </w:tcPr>
          <w:p w14:paraId="18115E2A" w14:textId="77777777" w:rsidR="00000000" w:rsidRDefault="00000000">
            <w:pPr>
              <w:widowControl w:val="0"/>
              <w:autoSpaceDE w:val="0"/>
              <w:autoSpaceDN w:val="0"/>
              <w:adjustRightInd w:val="0"/>
              <w:spacing w:after="0" w:line="240" w:lineRule="auto"/>
              <w:jc w:val="both"/>
              <w:rPr>
                <w:rFonts w:ascii="Times New Roman" w:hAnsi="Times New Roman" w:cs="Times New Roman"/>
                <w:kern w:val="0"/>
                <w:sz w:val="20"/>
                <w:szCs w:val="20"/>
              </w:rPr>
            </w:pPr>
            <w:r>
              <w:rPr>
                <w:rFonts w:ascii="Times New Roman" w:hAnsi="Times New Roman" w:cs="Times New Roman"/>
                <w:kern w:val="0"/>
                <w:sz w:val="20"/>
                <w:szCs w:val="20"/>
              </w:rPr>
              <w:t>Дата прийняття рішення про емісію акцій – 12.10.2026.</w:t>
            </w:r>
          </w:p>
          <w:p w14:paraId="6D56416E" w14:textId="77777777" w:rsidR="00000000" w:rsidRDefault="00000000">
            <w:pPr>
              <w:widowControl w:val="0"/>
              <w:autoSpaceDE w:val="0"/>
              <w:autoSpaceDN w:val="0"/>
              <w:adjustRightInd w:val="0"/>
              <w:spacing w:after="0" w:line="240" w:lineRule="auto"/>
              <w:jc w:val="both"/>
              <w:rPr>
                <w:rFonts w:ascii="Times New Roman" w:hAnsi="Times New Roman" w:cs="Times New Roman"/>
                <w:kern w:val="0"/>
                <w:sz w:val="20"/>
                <w:szCs w:val="20"/>
              </w:rPr>
            </w:pPr>
            <w:r>
              <w:rPr>
                <w:rFonts w:ascii="Times New Roman" w:hAnsi="Times New Roman" w:cs="Times New Roman"/>
                <w:kern w:val="0"/>
                <w:sz w:val="20"/>
                <w:szCs w:val="20"/>
              </w:rPr>
              <w:t>Найменування органу, що прийняв таке рішення –  позачергові загальні збори акціонерів.</w:t>
            </w:r>
          </w:p>
          <w:p w14:paraId="21191771" w14:textId="77777777" w:rsidR="00000000" w:rsidRDefault="00000000">
            <w:pPr>
              <w:widowControl w:val="0"/>
              <w:autoSpaceDE w:val="0"/>
              <w:autoSpaceDN w:val="0"/>
              <w:adjustRightInd w:val="0"/>
              <w:spacing w:after="0" w:line="240" w:lineRule="auto"/>
              <w:jc w:val="both"/>
              <w:rPr>
                <w:rFonts w:ascii="Times New Roman" w:hAnsi="Times New Roman" w:cs="Times New Roman"/>
                <w:kern w:val="0"/>
                <w:sz w:val="20"/>
                <w:szCs w:val="20"/>
              </w:rPr>
            </w:pPr>
            <w:r>
              <w:rPr>
                <w:rFonts w:ascii="Times New Roman" w:hAnsi="Times New Roman" w:cs="Times New Roman"/>
                <w:kern w:val="0"/>
                <w:sz w:val="20"/>
                <w:szCs w:val="20"/>
              </w:rPr>
              <w:t>Вид, тип, кількість цінних паперів – акції прості іменні у кількості 5 172 414 шт., сума цінних паперів – 24 000 000,96 грн, спосіб їх розміщення – без здійснення публічної пропозиції, порядок здійснення емісії – самостійно.</w:t>
            </w:r>
          </w:p>
          <w:p w14:paraId="5AA514E7" w14:textId="77777777" w:rsidR="00000000" w:rsidRDefault="00000000">
            <w:pPr>
              <w:widowControl w:val="0"/>
              <w:autoSpaceDE w:val="0"/>
              <w:autoSpaceDN w:val="0"/>
              <w:adjustRightInd w:val="0"/>
              <w:spacing w:after="0" w:line="240" w:lineRule="auto"/>
              <w:jc w:val="both"/>
              <w:rPr>
                <w:rFonts w:ascii="Times New Roman" w:hAnsi="Times New Roman" w:cs="Times New Roman"/>
                <w:kern w:val="0"/>
                <w:sz w:val="20"/>
                <w:szCs w:val="20"/>
              </w:rPr>
            </w:pPr>
            <w:r>
              <w:rPr>
                <w:rFonts w:ascii="Times New Roman" w:hAnsi="Times New Roman" w:cs="Times New Roman"/>
                <w:kern w:val="0"/>
                <w:sz w:val="20"/>
                <w:szCs w:val="20"/>
              </w:rPr>
              <w:t>Номінальна вартість акції – 4,64 грн.</w:t>
            </w:r>
          </w:p>
          <w:p w14:paraId="0A1FCD5E" w14:textId="77777777" w:rsidR="00000000" w:rsidRDefault="00000000">
            <w:pPr>
              <w:widowControl w:val="0"/>
              <w:autoSpaceDE w:val="0"/>
              <w:autoSpaceDN w:val="0"/>
              <w:adjustRightInd w:val="0"/>
              <w:spacing w:after="0" w:line="240" w:lineRule="auto"/>
              <w:jc w:val="both"/>
              <w:rPr>
                <w:rFonts w:ascii="Times New Roman" w:hAnsi="Times New Roman" w:cs="Times New Roman"/>
                <w:kern w:val="0"/>
                <w:sz w:val="20"/>
                <w:szCs w:val="20"/>
              </w:rPr>
            </w:pPr>
            <w:r>
              <w:rPr>
                <w:rFonts w:ascii="Times New Roman" w:hAnsi="Times New Roman" w:cs="Times New Roman"/>
                <w:kern w:val="0"/>
                <w:sz w:val="20"/>
                <w:szCs w:val="20"/>
              </w:rPr>
              <w:t xml:space="preserve">Розмір збільшення статутного капіталу акціонерного товариства шляхом додаткового випуску акцій: 24 000 000,96 грн. </w:t>
            </w:r>
          </w:p>
          <w:p w14:paraId="011654C3" w14:textId="77777777" w:rsidR="00000000" w:rsidRDefault="00000000">
            <w:pPr>
              <w:widowControl w:val="0"/>
              <w:autoSpaceDE w:val="0"/>
              <w:autoSpaceDN w:val="0"/>
              <w:adjustRightInd w:val="0"/>
              <w:spacing w:after="0" w:line="240" w:lineRule="auto"/>
              <w:jc w:val="both"/>
              <w:rPr>
                <w:rFonts w:ascii="Times New Roman" w:hAnsi="Times New Roman" w:cs="Times New Roman"/>
                <w:kern w:val="0"/>
                <w:sz w:val="20"/>
                <w:szCs w:val="20"/>
              </w:rPr>
            </w:pPr>
            <w:r>
              <w:rPr>
                <w:rFonts w:ascii="Times New Roman" w:hAnsi="Times New Roman" w:cs="Times New Roman"/>
                <w:kern w:val="0"/>
                <w:sz w:val="20"/>
                <w:szCs w:val="20"/>
              </w:rPr>
              <w:t>Ціна розміщення із зазначенням способу її визначення: 4,64 грн., визначається на підставі ринкової вартості акцій визначеної незалежним оцінювачем, ринкова вартість становить 4,63 грн.</w:t>
            </w:r>
          </w:p>
          <w:p w14:paraId="50BE6680" w14:textId="77777777" w:rsidR="00000000" w:rsidRDefault="00000000">
            <w:pPr>
              <w:widowControl w:val="0"/>
              <w:autoSpaceDE w:val="0"/>
              <w:autoSpaceDN w:val="0"/>
              <w:adjustRightInd w:val="0"/>
              <w:spacing w:after="0" w:line="240" w:lineRule="auto"/>
              <w:jc w:val="both"/>
              <w:rPr>
                <w:rFonts w:ascii="Times New Roman" w:hAnsi="Times New Roman" w:cs="Times New Roman"/>
                <w:kern w:val="0"/>
                <w:sz w:val="20"/>
                <w:szCs w:val="20"/>
              </w:rPr>
            </w:pPr>
            <w:r>
              <w:rPr>
                <w:rFonts w:ascii="Times New Roman" w:hAnsi="Times New Roman" w:cs="Times New Roman"/>
                <w:kern w:val="0"/>
                <w:sz w:val="20"/>
                <w:szCs w:val="20"/>
              </w:rPr>
              <w:t>Розміщення акцій може призвести до зміни власника значного пакета акцій емітента, а саме Савченко Сергія Валентиновича, розмір пакета акцій - 4330803 шт. простих іменних акцій, що становить 89,7915% від загальної кількості акцій Товариства.</w:t>
            </w:r>
          </w:p>
          <w:p w14:paraId="336F160B" w14:textId="77777777" w:rsidR="00000000" w:rsidRDefault="00000000">
            <w:pPr>
              <w:widowControl w:val="0"/>
              <w:autoSpaceDE w:val="0"/>
              <w:autoSpaceDN w:val="0"/>
              <w:adjustRightInd w:val="0"/>
              <w:spacing w:after="0" w:line="240" w:lineRule="auto"/>
              <w:jc w:val="both"/>
              <w:rPr>
                <w:rFonts w:ascii="Times New Roman" w:hAnsi="Times New Roman" w:cs="Times New Roman"/>
                <w:kern w:val="0"/>
                <w:sz w:val="20"/>
                <w:szCs w:val="20"/>
              </w:rPr>
            </w:pPr>
            <w:r>
              <w:rPr>
                <w:rFonts w:ascii="Times New Roman" w:hAnsi="Times New Roman" w:cs="Times New Roman"/>
                <w:kern w:val="0"/>
                <w:sz w:val="20"/>
                <w:szCs w:val="20"/>
              </w:rPr>
              <w:t>Співвідношення загальної номінальної вартості цінних паперів, на яку вони розміщуються, до розміру статутного капіталу емітента на дату прийняття цього рішення: 107,2%.</w:t>
            </w:r>
          </w:p>
          <w:p w14:paraId="47AD6542" w14:textId="77777777" w:rsidR="00000000" w:rsidRDefault="00000000">
            <w:pPr>
              <w:widowControl w:val="0"/>
              <w:autoSpaceDE w:val="0"/>
              <w:autoSpaceDN w:val="0"/>
              <w:adjustRightInd w:val="0"/>
              <w:spacing w:after="0" w:line="240" w:lineRule="auto"/>
              <w:jc w:val="both"/>
              <w:rPr>
                <w:rFonts w:ascii="Times New Roman" w:hAnsi="Times New Roman" w:cs="Times New Roman"/>
                <w:kern w:val="0"/>
                <w:sz w:val="20"/>
                <w:szCs w:val="20"/>
              </w:rPr>
            </w:pPr>
            <w:r>
              <w:rPr>
                <w:rFonts w:ascii="Times New Roman" w:hAnsi="Times New Roman" w:cs="Times New Roman"/>
                <w:kern w:val="0"/>
                <w:sz w:val="20"/>
                <w:szCs w:val="20"/>
              </w:rPr>
              <w:t>Співвідношення загальної номінальної вартості цінних паперів емітента, які знаходяться в обігу, до розміру статутного капіталу емітента на дату прийняття цього рішення: 100%.</w:t>
            </w:r>
          </w:p>
          <w:p w14:paraId="621276D5" w14:textId="77777777" w:rsidR="00000000" w:rsidRDefault="00000000">
            <w:pPr>
              <w:widowControl w:val="0"/>
              <w:autoSpaceDE w:val="0"/>
              <w:autoSpaceDN w:val="0"/>
              <w:adjustRightInd w:val="0"/>
              <w:spacing w:after="0" w:line="240" w:lineRule="auto"/>
              <w:jc w:val="both"/>
              <w:rPr>
                <w:rFonts w:ascii="Times New Roman" w:hAnsi="Times New Roman" w:cs="Times New Roman"/>
                <w:kern w:val="0"/>
                <w:sz w:val="20"/>
                <w:szCs w:val="20"/>
              </w:rPr>
            </w:pPr>
            <w:r>
              <w:rPr>
                <w:rFonts w:ascii="Times New Roman" w:hAnsi="Times New Roman" w:cs="Times New Roman"/>
                <w:kern w:val="0"/>
                <w:sz w:val="20"/>
                <w:szCs w:val="20"/>
              </w:rPr>
              <w:t>Інформація про права, які отримують інвестори в цінні папери, що розміщуються: згідно із законодавством та Статутом Товариства.</w:t>
            </w:r>
          </w:p>
          <w:p w14:paraId="7965ABC2" w14:textId="77777777" w:rsidR="00000000" w:rsidRDefault="00000000">
            <w:pPr>
              <w:widowControl w:val="0"/>
              <w:autoSpaceDE w:val="0"/>
              <w:autoSpaceDN w:val="0"/>
              <w:adjustRightInd w:val="0"/>
              <w:spacing w:after="0" w:line="240" w:lineRule="auto"/>
              <w:jc w:val="both"/>
              <w:rPr>
                <w:rFonts w:ascii="Times New Roman" w:hAnsi="Times New Roman" w:cs="Times New Roman"/>
                <w:kern w:val="0"/>
                <w:sz w:val="20"/>
                <w:szCs w:val="20"/>
              </w:rPr>
            </w:pPr>
            <w:r>
              <w:rPr>
                <w:rFonts w:ascii="Times New Roman" w:hAnsi="Times New Roman" w:cs="Times New Roman"/>
                <w:kern w:val="0"/>
                <w:sz w:val="20"/>
                <w:szCs w:val="20"/>
              </w:rPr>
              <w:t>Спосіб оплати цінних паперів: грошовими коштами в національній валюті в гривнях шляхом безготівкового перерахування коштів на відповідний поточний рахунок Товариства не пізніше дати, що передує даті затвердження Наглядовою радою результатів емісії акцій.</w:t>
            </w:r>
          </w:p>
          <w:p w14:paraId="4C7B1E46" w14:textId="77777777" w:rsidR="00000000" w:rsidRDefault="00000000">
            <w:pPr>
              <w:widowControl w:val="0"/>
              <w:autoSpaceDE w:val="0"/>
              <w:autoSpaceDN w:val="0"/>
              <w:adjustRightInd w:val="0"/>
              <w:spacing w:after="0" w:line="240" w:lineRule="auto"/>
              <w:jc w:val="both"/>
              <w:rPr>
                <w:rFonts w:ascii="Times New Roman" w:hAnsi="Times New Roman" w:cs="Times New Roman"/>
                <w:kern w:val="0"/>
                <w:sz w:val="20"/>
                <w:szCs w:val="20"/>
              </w:rPr>
            </w:pPr>
            <w:r>
              <w:rPr>
                <w:rFonts w:ascii="Times New Roman" w:hAnsi="Times New Roman" w:cs="Times New Roman"/>
                <w:kern w:val="0"/>
                <w:sz w:val="20"/>
                <w:szCs w:val="20"/>
              </w:rPr>
              <w:t>Мета розміщення цінних паперів, а також напрями використання отриманих коштів: залучені кошти від розміщення акцій будуть спрямовані на:</w:t>
            </w:r>
          </w:p>
          <w:p w14:paraId="2A453361" w14:textId="77777777" w:rsidR="00000000" w:rsidRDefault="00000000">
            <w:pPr>
              <w:widowControl w:val="0"/>
              <w:autoSpaceDE w:val="0"/>
              <w:autoSpaceDN w:val="0"/>
              <w:adjustRightInd w:val="0"/>
              <w:spacing w:after="0" w:line="240" w:lineRule="auto"/>
              <w:jc w:val="both"/>
              <w:rPr>
                <w:rFonts w:ascii="Times New Roman" w:hAnsi="Times New Roman" w:cs="Times New Roman"/>
                <w:kern w:val="0"/>
                <w:sz w:val="20"/>
                <w:szCs w:val="20"/>
              </w:rPr>
            </w:pPr>
            <w:r>
              <w:rPr>
                <w:rFonts w:ascii="Times New Roman" w:hAnsi="Times New Roman" w:cs="Times New Roman"/>
                <w:kern w:val="0"/>
                <w:sz w:val="20"/>
                <w:szCs w:val="20"/>
              </w:rPr>
              <w:t>- фінансування поточних господарських потреб товариства (придбання товарів, робіт, послуг, необхідних для здійснення господарської діяльності) в сумі 14 000 000,96 (чотирнадцять мільйонів гривень 96 копійок) грн;</w:t>
            </w:r>
          </w:p>
          <w:p w14:paraId="3BD0E2CF" w14:textId="77777777" w:rsidR="00000000" w:rsidRDefault="00000000">
            <w:pPr>
              <w:widowControl w:val="0"/>
              <w:autoSpaceDE w:val="0"/>
              <w:autoSpaceDN w:val="0"/>
              <w:adjustRightInd w:val="0"/>
              <w:spacing w:after="0" w:line="240" w:lineRule="auto"/>
              <w:jc w:val="both"/>
              <w:rPr>
                <w:rFonts w:ascii="Times New Roman" w:hAnsi="Times New Roman" w:cs="Times New Roman"/>
                <w:kern w:val="0"/>
                <w:sz w:val="20"/>
                <w:szCs w:val="20"/>
              </w:rPr>
            </w:pPr>
            <w:r>
              <w:rPr>
                <w:rFonts w:ascii="Times New Roman" w:hAnsi="Times New Roman" w:cs="Times New Roman"/>
                <w:kern w:val="0"/>
                <w:sz w:val="20"/>
                <w:szCs w:val="20"/>
              </w:rPr>
              <w:t>- придбання та модернізація основних засобів та нематеріальних активів товариства в сумі 10 000 000,00 (десять мільйонів гривень 00 копійок) грн.</w:t>
            </w:r>
          </w:p>
          <w:p w14:paraId="5799FF7B" w14:textId="77777777" w:rsidR="00000000" w:rsidRDefault="00000000">
            <w:pPr>
              <w:widowControl w:val="0"/>
              <w:autoSpaceDE w:val="0"/>
              <w:autoSpaceDN w:val="0"/>
              <w:adjustRightInd w:val="0"/>
              <w:spacing w:after="0" w:line="240" w:lineRule="auto"/>
              <w:jc w:val="both"/>
              <w:rPr>
                <w:rFonts w:ascii="Times New Roman" w:hAnsi="Times New Roman" w:cs="Times New Roman"/>
                <w:kern w:val="0"/>
                <w:sz w:val="20"/>
                <w:szCs w:val="20"/>
              </w:rPr>
            </w:pPr>
            <w:r>
              <w:rPr>
                <w:rFonts w:ascii="Times New Roman" w:hAnsi="Times New Roman" w:cs="Times New Roman"/>
                <w:kern w:val="0"/>
                <w:sz w:val="20"/>
                <w:szCs w:val="20"/>
              </w:rPr>
              <w:t>Інформація щодо можливості конвертації цінних паперів: не передбачається.</w:t>
            </w:r>
          </w:p>
          <w:p w14:paraId="49EAFB2F" w14:textId="77777777" w:rsidR="00000000" w:rsidRDefault="00000000">
            <w:pPr>
              <w:widowControl w:val="0"/>
              <w:autoSpaceDE w:val="0"/>
              <w:autoSpaceDN w:val="0"/>
              <w:adjustRightInd w:val="0"/>
              <w:spacing w:after="0" w:line="240" w:lineRule="auto"/>
              <w:jc w:val="both"/>
              <w:rPr>
                <w:rFonts w:ascii="Times New Roman" w:hAnsi="Times New Roman" w:cs="Times New Roman"/>
                <w:kern w:val="0"/>
                <w:sz w:val="20"/>
                <w:szCs w:val="20"/>
              </w:rPr>
            </w:pPr>
            <w:r>
              <w:rPr>
                <w:rFonts w:ascii="Times New Roman" w:hAnsi="Times New Roman" w:cs="Times New Roman"/>
                <w:kern w:val="0"/>
                <w:sz w:val="20"/>
                <w:szCs w:val="20"/>
              </w:rPr>
              <w:t>Інша суттєва інформація відповідно до рішення про емісію акцій: розміщення акцій здійснюється без використання переважного права акціонерів на придбання акцій додаткової емісії у процесі їх розміщення.</w:t>
            </w:r>
          </w:p>
        </w:tc>
      </w:tr>
    </w:tbl>
    <w:p w14:paraId="2D9FDA3C" w14:textId="77777777" w:rsidR="00C45B10" w:rsidRDefault="00C45B10"/>
    <w:sectPr w:rsidR="00C45B10">
      <w:pgSz w:w="11905" w:h="16837"/>
      <w:pgMar w:top="570" w:right="720" w:bottom="570" w:left="720" w:header="708" w:footer="36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5E771B" w14:textId="77777777" w:rsidR="00C45B10" w:rsidRDefault="00C45B10">
      <w:pPr>
        <w:spacing w:after="0" w:line="240" w:lineRule="auto"/>
      </w:pPr>
      <w:r>
        <w:separator/>
      </w:r>
    </w:p>
  </w:endnote>
  <w:endnote w:type="continuationSeparator" w:id="0">
    <w:p w14:paraId="61C431BC" w14:textId="77777777" w:rsidR="00C45B10" w:rsidRDefault="00C45B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altName w:val="Times New Roman CYR"/>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3C990" w14:textId="77777777" w:rsidR="00000000" w:rsidRDefault="00000000">
    <w:pPr>
      <w:widowControl w:val="0"/>
      <w:autoSpaceDE w:val="0"/>
      <w:autoSpaceDN w:val="0"/>
      <w:adjustRightInd w:val="0"/>
      <w:spacing w:after="0" w:line="240" w:lineRule="auto"/>
      <w:jc w:val="right"/>
      <w:rPr>
        <w:rFonts w:ascii="Times New Roman" w:hAnsi="Times New Roman" w:cs="Times New Roman"/>
        <w:kern w:val="0"/>
        <w:sz w:val="20"/>
        <w:szCs w:val="20"/>
        <w:lang w:val="ru-RU"/>
      </w:rPr>
    </w:pPr>
    <w:r>
      <w:rPr>
        <w:rFonts w:ascii="Times New Roman" w:hAnsi="Times New Roman" w:cs="Times New Roman"/>
        <w:kern w:val="0"/>
        <w:sz w:val="20"/>
        <w:szCs w:val="20"/>
        <w:lang w:val="ru-RU"/>
      </w:rPr>
      <w:fldChar w:fldCharType="begin"/>
    </w:r>
    <w:r>
      <w:rPr>
        <w:rFonts w:ascii="Times New Roman" w:hAnsi="Times New Roman" w:cs="Times New Roman"/>
        <w:kern w:val="0"/>
        <w:sz w:val="20"/>
        <w:szCs w:val="20"/>
        <w:lang w:val="ru-RU"/>
      </w:rPr>
      <w:instrText>PAGE</w:instrText>
    </w:r>
    <w:r w:rsidR="00DF19B5">
      <w:rPr>
        <w:rFonts w:ascii="Times New Roman" w:hAnsi="Times New Roman" w:cs="Times New Roman"/>
        <w:kern w:val="0"/>
        <w:sz w:val="20"/>
        <w:szCs w:val="20"/>
        <w:lang w:val="ru-RU"/>
      </w:rPr>
      <w:fldChar w:fldCharType="separate"/>
    </w:r>
    <w:r w:rsidR="00DF19B5">
      <w:rPr>
        <w:rFonts w:ascii="Times New Roman" w:hAnsi="Times New Roman" w:cs="Times New Roman"/>
        <w:noProof/>
        <w:kern w:val="0"/>
        <w:sz w:val="20"/>
        <w:szCs w:val="20"/>
        <w:lang w:val="ru-RU"/>
      </w:rPr>
      <w:t>1</w:t>
    </w:r>
    <w:r>
      <w:rPr>
        <w:rFonts w:ascii="Times New Roman" w:hAnsi="Times New Roman" w:cs="Times New Roman"/>
        <w:kern w:val="0"/>
        <w:sz w:val="20"/>
        <w:szCs w:val="20"/>
        <w:lang w:val="ru-RU"/>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56A511" w14:textId="77777777" w:rsidR="00C45B10" w:rsidRDefault="00C45B10">
      <w:pPr>
        <w:spacing w:after="0" w:line="240" w:lineRule="auto"/>
      </w:pPr>
      <w:r>
        <w:separator/>
      </w:r>
    </w:p>
  </w:footnote>
  <w:footnote w:type="continuationSeparator" w:id="0">
    <w:p w14:paraId="16AB53C8" w14:textId="77777777" w:rsidR="00C45B10" w:rsidRDefault="00C45B1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19B5"/>
    <w:rsid w:val="006954E5"/>
    <w:rsid w:val="00C45B10"/>
    <w:rsid w:val="00DF19B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4C681E2"/>
  <w14:defaultImageDpi w14:val="0"/>
  <w15:docId w15:val="{CC381FDA-27AF-4C11-ADC9-0954621B5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uk-UA" w:eastAsia="uk-U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3325</Words>
  <Characters>1896</Characters>
  <Application>Microsoft Office Word</Application>
  <DocSecurity>0</DocSecurity>
  <Lines>15</Lines>
  <Paragraphs>10</Paragraphs>
  <ScaleCrop>false</ScaleCrop>
  <Company/>
  <LinksUpToDate>false</LinksUpToDate>
  <CharactersWithSpaces>5211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Олена Ступак</dc:creator>
  <cp:keywords/>
  <dc:description/>
  <cp:lastModifiedBy>Олена Ступак</cp:lastModifiedBy>
  <cp:revision>2</cp:revision>
  <dcterms:created xsi:type="dcterms:W3CDTF">2026-10-13T08:47:00Z</dcterms:created>
  <dcterms:modified xsi:type="dcterms:W3CDTF">2026-10-13T08:47:00Z</dcterms:modified>
</cp:coreProperties>
</file>