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33DE0"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b/>
          <w:bCs/>
          <w:kern w:val="0"/>
          <w:sz w:val="28"/>
          <w:szCs w:val="28"/>
        </w:rPr>
        <w:t>ТИТУЛЬНИЙ АРКУШ</w:t>
      </w:r>
    </w:p>
    <w:p w14:paraId="78A9A332"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230"/>
      </w:tblGrid>
      <w:tr w:rsidR="00000000" w14:paraId="14724158" w14:textId="77777777">
        <w:tblPrEx>
          <w:tblCellMar>
            <w:top w:w="0" w:type="dxa"/>
            <w:bottom w:w="0" w:type="dxa"/>
          </w:tblCellMar>
        </w:tblPrEx>
        <w:trPr>
          <w:trHeight w:val="300"/>
        </w:trPr>
        <w:tc>
          <w:tcPr>
            <w:tcW w:w="5230" w:type="dxa"/>
            <w:tcBorders>
              <w:top w:val="nil"/>
              <w:left w:val="nil"/>
              <w:bottom w:val="single" w:sz="6" w:space="0" w:color="auto"/>
              <w:right w:val="nil"/>
            </w:tcBorders>
            <w:vAlign w:val="bottom"/>
          </w:tcPr>
          <w:p w14:paraId="1EE6B9CA"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13.10.2026</w:t>
            </w:r>
          </w:p>
        </w:tc>
      </w:tr>
      <w:tr w:rsidR="00000000" w14:paraId="31FD862F" w14:textId="77777777">
        <w:tblPrEx>
          <w:tblBorders>
            <w:bottom w:val="none" w:sz="0" w:space="0" w:color="auto"/>
          </w:tblBorders>
          <w:tblCellMar>
            <w:top w:w="0" w:type="dxa"/>
            <w:bottom w:w="0" w:type="dxa"/>
          </w:tblCellMar>
        </w:tblPrEx>
        <w:trPr>
          <w:trHeight w:val="300"/>
        </w:trPr>
        <w:tc>
          <w:tcPr>
            <w:tcW w:w="5230" w:type="dxa"/>
            <w:tcBorders>
              <w:top w:val="nil"/>
              <w:left w:val="nil"/>
              <w:bottom w:val="nil"/>
              <w:right w:val="nil"/>
            </w:tcBorders>
            <w:vAlign w:val="bottom"/>
          </w:tcPr>
          <w:p w14:paraId="7E4180F7"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(дата реєстрації емітентом електронного документа)</w:t>
            </w:r>
          </w:p>
        </w:tc>
      </w:tr>
      <w:tr w:rsidR="00000000" w14:paraId="46DCDF1E" w14:textId="77777777">
        <w:tblPrEx>
          <w:tblCellMar>
            <w:top w:w="0" w:type="dxa"/>
            <w:bottom w:w="0" w:type="dxa"/>
          </w:tblCellMar>
        </w:tblPrEx>
        <w:trPr>
          <w:trHeight w:val="300"/>
        </w:trPr>
        <w:tc>
          <w:tcPr>
            <w:tcW w:w="5230" w:type="dxa"/>
            <w:tcBorders>
              <w:top w:val="nil"/>
              <w:left w:val="nil"/>
              <w:bottom w:val="single" w:sz="6" w:space="0" w:color="auto"/>
              <w:right w:val="nil"/>
            </w:tcBorders>
            <w:vAlign w:val="bottom"/>
          </w:tcPr>
          <w:p w14:paraId="661175B0"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13/10-1</w:t>
            </w:r>
          </w:p>
        </w:tc>
      </w:tr>
      <w:tr w:rsidR="00000000" w14:paraId="17E7BB18" w14:textId="77777777">
        <w:tblPrEx>
          <w:tblCellMar>
            <w:top w:w="0" w:type="dxa"/>
            <w:bottom w:w="0" w:type="dxa"/>
          </w:tblCellMar>
        </w:tblPrEx>
        <w:trPr>
          <w:trHeight w:val="300"/>
        </w:trPr>
        <w:tc>
          <w:tcPr>
            <w:tcW w:w="5230" w:type="dxa"/>
            <w:tcBorders>
              <w:top w:val="nil"/>
              <w:left w:val="nil"/>
              <w:bottom w:val="nil"/>
              <w:right w:val="nil"/>
            </w:tcBorders>
            <w:vAlign w:val="bottom"/>
          </w:tcPr>
          <w:p w14:paraId="2268573E"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(вихідний реєстраційний номер електронного документа)</w:t>
            </w:r>
          </w:p>
        </w:tc>
      </w:tr>
    </w:tbl>
    <w:p w14:paraId="30014BD4"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r>
        <w:rPr>
          <w:rFonts w:ascii="Times New Roman" w:hAnsi="Times New Roman" w:cs="Times New Roman"/>
          <w:kern w:val="0"/>
          <w:sz w:val="20"/>
          <w:szCs w:val="20"/>
        </w:rPr>
        <w:t xml:space="preserve">      </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465"/>
      </w:tblGrid>
      <w:tr w:rsidR="00000000" w14:paraId="34DDC4DC" w14:textId="77777777">
        <w:tblPrEx>
          <w:tblCellMar>
            <w:top w:w="0" w:type="dxa"/>
            <w:bottom w:w="0" w:type="dxa"/>
          </w:tblCellMar>
        </w:tblPrEx>
        <w:trPr>
          <w:trHeight w:val="300"/>
        </w:trPr>
        <w:tc>
          <w:tcPr>
            <w:tcW w:w="10465" w:type="dxa"/>
            <w:tcBorders>
              <w:top w:val="nil"/>
              <w:left w:val="nil"/>
              <w:bottom w:val="nil"/>
              <w:right w:val="nil"/>
            </w:tcBorders>
            <w:vAlign w:val="bottom"/>
          </w:tcPr>
          <w:p w14:paraId="3CC6E22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Підтверджую ідентичність та достовірність інформації, що розкрита відповідно до вимог Положення про розкриття інформації емітентами цінних паперів, а також особами, які надають забезпечення за такими цінними паперами (далі - Положення).</w:t>
            </w:r>
          </w:p>
        </w:tc>
      </w:tr>
    </w:tbl>
    <w:p w14:paraId="3AD60097"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236"/>
        <w:gridCol w:w="3334"/>
        <w:gridCol w:w="236"/>
        <w:gridCol w:w="3284"/>
      </w:tblGrid>
      <w:tr w:rsidR="00000000" w14:paraId="7365A785" w14:textId="77777777">
        <w:tblPrEx>
          <w:tblCellMar>
            <w:top w:w="0" w:type="dxa"/>
            <w:bottom w:w="0" w:type="dxa"/>
          </w:tblCellMar>
        </w:tblPrEx>
        <w:trPr>
          <w:trHeight w:val="200"/>
        </w:trPr>
        <w:tc>
          <w:tcPr>
            <w:tcW w:w="3415" w:type="dxa"/>
            <w:tcBorders>
              <w:top w:val="nil"/>
              <w:left w:val="nil"/>
              <w:bottom w:val="single" w:sz="6" w:space="0" w:color="auto"/>
              <w:right w:val="nil"/>
            </w:tcBorders>
            <w:vAlign w:val="bottom"/>
          </w:tcPr>
          <w:p w14:paraId="3EE18470"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Генеральний директор</w:t>
            </w:r>
          </w:p>
        </w:tc>
        <w:tc>
          <w:tcPr>
            <w:tcW w:w="216" w:type="dxa"/>
            <w:tcBorders>
              <w:top w:val="nil"/>
              <w:left w:val="nil"/>
              <w:bottom w:val="nil"/>
              <w:right w:val="nil"/>
            </w:tcBorders>
          </w:tcPr>
          <w:p w14:paraId="6CA27F85"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p>
        </w:tc>
        <w:tc>
          <w:tcPr>
            <w:tcW w:w="3334" w:type="dxa"/>
            <w:tcBorders>
              <w:top w:val="nil"/>
              <w:left w:val="nil"/>
              <w:bottom w:val="single" w:sz="6" w:space="0" w:color="auto"/>
              <w:right w:val="nil"/>
            </w:tcBorders>
            <w:vAlign w:val="bottom"/>
          </w:tcPr>
          <w:p w14:paraId="3103126B"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p>
        </w:tc>
        <w:tc>
          <w:tcPr>
            <w:tcW w:w="216" w:type="dxa"/>
            <w:tcBorders>
              <w:top w:val="nil"/>
              <w:left w:val="nil"/>
              <w:bottom w:val="nil"/>
              <w:right w:val="nil"/>
            </w:tcBorders>
          </w:tcPr>
          <w:p w14:paraId="5DE66B82"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p>
        </w:tc>
        <w:tc>
          <w:tcPr>
            <w:tcW w:w="3284" w:type="dxa"/>
            <w:tcBorders>
              <w:top w:val="nil"/>
              <w:left w:val="nil"/>
              <w:bottom w:val="single" w:sz="6" w:space="0" w:color="auto"/>
              <w:right w:val="nil"/>
            </w:tcBorders>
            <w:vAlign w:val="bottom"/>
          </w:tcPr>
          <w:p w14:paraId="6BB755DB"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proofErr w:type="spellStart"/>
            <w:r>
              <w:rPr>
                <w:rFonts w:ascii="Times New Roman" w:hAnsi="Times New Roman" w:cs="Times New Roman"/>
                <w:kern w:val="0"/>
              </w:rPr>
              <w:t>Севостьянов</w:t>
            </w:r>
            <w:proofErr w:type="spellEnd"/>
            <w:r>
              <w:rPr>
                <w:rFonts w:ascii="Times New Roman" w:hAnsi="Times New Roman" w:cs="Times New Roman"/>
                <w:kern w:val="0"/>
              </w:rPr>
              <w:t xml:space="preserve"> Ю.Б.</w:t>
            </w:r>
          </w:p>
        </w:tc>
      </w:tr>
      <w:tr w:rsidR="00000000" w14:paraId="062D7066" w14:textId="77777777">
        <w:tblPrEx>
          <w:tblCellMar>
            <w:top w:w="0" w:type="dxa"/>
            <w:bottom w:w="0" w:type="dxa"/>
          </w:tblCellMar>
        </w:tblPrEx>
        <w:trPr>
          <w:trHeight w:val="200"/>
        </w:trPr>
        <w:tc>
          <w:tcPr>
            <w:tcW w:w="3415" w:type="dxa"/>
            <w:tcBorders>
              <w:top w:val="nil"/>
              <w:left w:val="nil"/>
              <w:bottom w:val="nil"/>
              <w:right w:val="nil"/>
            </w:tcBorders>
          </w:tcPr>
          <w:p w14:paraId="1DD887FD"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(посада)</w:t>
            </w:r>
          </w:p>
        </w:tc>
        <w:tc>
          <w:tcPr>
            <w:tcW w:w="216" w:type="dxa"/>
            <w:tcBorders>
              <w:top w:val="nil"/>
              <w:left w:val="nil"/>
              <w:bottom w:val="nil"/>
              <w:right w:val="nil"/>
            </w:tcBorders>
          </w:tcPr>
          <w:p w14:paraId="16E5B354"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p>
        </w:tc>
        <w:tc>
          <w:tcPr>
            <w:tcW w:w="3334" w:type="dxa"/>
            <w:tcBorders>
              <w:top w:val="nil"/>
              <w:left w:val="nil"/>
              <w:bottom w:val="nil"/>
              <w:right w:val="nil"/>
            </w:tcBorders>
          </w:tcPr>
          <w:p w14:paraId="051D5CC2"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(місце для накладання електронного підпису уповноваженої особи емітента/ особи, яка надає забезпечення, що базується на кваліфікованому сертифікаті відкритого ключа)</w:t>
            </w:r>
          </w:p>
        </w:tc>
        <w:tc>
          <w:tcPr>
            <w:tcW w:w="216" w:type="dxa"/>
            <w:tcBorders>
              <w:top w:val="nil"/>
              <w:left w:val="nil"/>
              <w:bottom w:val="nil"/>
              <w:right w:val="nil"/>
            </w:tcBorders>
          </w:tcPr>
          <w:p w14:paraId="527C3DA4"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p>
        </w:tc>
        <w:tc>
          <w:tcPr>
            <w:tcW w:w="3284" w:type="dxa"/>
            <w:tcBorders>
              <w:top w:val="nil"/>
              <w:left w:val="nil"/>
              <w:bottom w:val="nil"/>
              <w:right w:val="nil"/>
            </w:tcBorders>
          </w:tcPr>
          <w:p w14:paraId="03559B24"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(прізвище та ініціали керівника або уповноваженої особи емітента)</w:t>
            </w:r>
          </w:p>
        </w:tc>
      </w:tr>
    </w:tbl>
    <w:p w14:paraId="183DB500"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p>
    <w:p w14:paraId="12558078"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8"/>
          <w:szCs w:val="28"/>
        </w:rPr>
      </w:pPr>
      <w:r>
        <w:rPr>
          <w:rFonts w:ascii="Times New Roman" w:hAnsi="Times New Roman" w:cs="Times New Roman"/>
          <w:b/>
          <w:bCs/>
          <w:kern w:val="0"/>
          <w:sz w:val="28"/>
          <w:szCs w:val="28"/>
        </w:rPr>
        <w:t>Особлива інформація / інформація про іпотечні цінні папери/ сертифікати фонду операцій з нерухомістю емітента</w:t>
      </w:r>
    </w:p>
    <w:p w14:paraId="752E294C" w14:textId="77777777" w:rsidR="00000000" w:rsidRDefault="00000000">
      <w:pPr>
        <w:widowControl w:val="0"/>
        <w:autoSpaceDE w:val="0"/>
        <w:autoSpaceDN w:val="0"/>
        <w:adjustRightInd w:val="0"/>
        <w:spacing w:after="0" w:line="240" w:lineRule="auto"/>
        <w:rPr>
          <w:rFonts w:ascii="Times New Roman" w:hAnsi="Times New Roman" w:cs="Times New Roman"/>
          <w:b/>
          <w:bCs/>
          <w:kern w:val="0"/>
          <w:sz w:val="28"/>
          <w:szCs w:val="28"/>
        </w:rPr>
      </w:pPr>
    </w:p>
    <w:p w14:paraId="06F3412C"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b/>
          <w:bCs/>
          <w:kern w:val="0"/>
        </w:rPr>
        <w:t>І. Загальні відомості</w:t>
      </w:r>
    </w:p>
    <w:p w14:paraId="3D17F280"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rPr>
      </w:pPr>
      <w:r>
        <w:rPr>
          <w:rFonts w:ascii="Times New Roman" w:hAnsi="Times New Roman" w:cs="Times New Roman"/>
          <w:kern w:val="0"/>
        </w:rPr>
        <w:t>1. Повне найменування: Приватне акціонерне товариство «Факел»</w:t>
      </w:r>
    </w:p>
    <w:p w14:paraId="5ABEF73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2. Організаційно-правова форма: Акціонерне товариство</w:t>
      </w:r>
    </w:p>
    <w:p w14:paraId="6B1E9CD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3. Місцезнаходження: 08500, Київська обл., м. Фастів, </w:t>
      </w:r>
      <w:proofErr w:type="spellStart"/>
      <w:r>
        <w:rPr>
          <w:rFonts w:ascii="Times New Roman" w:hAnsi="Times New Roman" w:cs="Times New Roman"/>
          <w:kern w:val="0"/>
        </w:rPr>
        <w:t>пл</w:t>
      </w:r>
      <w:proofErr w:type="spellEnd"/>
      <w:r>
        <w:rPr>
          <w:rFonts w:ascii="Times New Roman" w:hAnsi="Times New Roman" w:cs="Times New Roman"/>
          <w:kern w:val="0"/>
        </w:rPr>
        <w:t>. Промвузол</w:t>
      </w:r>
    </w:p>
    <w:p w14:paraId="1074F114"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4. Ідентифікаційний код юридичної особи: 04601469</w:t>
      </w:r>
    </w:p>
    <w:p w14:paraId="71514CA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5. Міжміський код та номер телефону: (045) 656-67-60, (045) 656-67-62</w:t>
      </w:r>
    </w:p>
    <w:p w14:paraId="56F59773"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6. Адреса електронної пошти, яка є офіційним каналом зв’язку: info@fakel.ua</w:t>
      </w:r>
    </w:p>
    <w:p w14:paraId="26C00466"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 xml:space="preserve">7.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провадить діяльність з оприлюднення регульованої інформації від імені учасників ринків капіталу та професійних учасників організованих товарних ринків (у разі здійснення оприлюднення): </w:t>
      </w:r>
    </w:p>
    <w:p w14:paraId="2F758CEE"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8. Повне найменування, ідентифікаційний код юридичної особи, країна реєстрації юридичної особи та номер свідоцтва про включення до Реєстру осіб, уповноважених надавати інформаційні послуги на ринках капіталу та організованих товарних ринках, особи, яка здійснює подання звітності та/або звітних даних до НКЦПФР (у разі, якщо емітент не подає інформацію до НКЦПФР безпосередньо): Державна установа "Агентство з розвитку інфраструктури фондового ринку України", 21676262, Україна, DR/00002/ARM</w:t>
      </w:r>
    </w:p>
    <w:p w14:paraId="4BAC5210"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p>
    <w:p w14:paraId="2CD51438"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rPr>
      </w:pPr>
      <w:r>
        <w:rPr>
          <w:rFonts w:ascii="Times New Roman" w:hAnsi="Times New Roman" w:cs="Times New Roman"/>
          <w:b/>
          <w:bCs/>
          <w:kern w:val="0"/>
        </w:rPr>
        <w:t xml:space="preserve">ІІ. Дані про дату та місце оприлюднення інформації </w:t>
      </w:r>
    </w:p>
    <w:p w14:paraId="05756B1C"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415"/>
        <w:gridCol w:w="5165"/>
        <w:gridCol w:w="1885"/>
      </w:tblGrid>
      <w:tr w:rsidR="00000000" w14:paraId="2881626C" w14:textId="77777777">
        <w:tblPrEx>
          <w:tblCellMar>
            <w:top w:w="0" w:type="dxa"/>
            <w:bottom w:w="0" w:type="dxa"/>
          </w:tblCellMar>
        </w:tblPrEx>
        <w:trPr>
          <w:trHeight w:val="300"/>
        </w:trPr>
        <w:tc>
          <w:tcPr>
            <w:tcW w:w="3415" w:type="dxa"/>
            <w:vMerge w:val="restart"/>
            <w:tcBorders>
              <w:top w:val="nil"/>
              <w:left w:val="nil"/>
              <w:bottom w:val="nil"/>
              <w:right w:val="nil"/>
            </w:tcBorders>
          </w:tcPr>
          <w:p w14:paraId="049ABE95" w14:textId="77777777" w:rsidR="00000000" w:rsidRDefault="00000000">
            <w:pPr>
              <w:widowControl w:val="0"/>
              <w:autoSpaceDE w:val="0"/>
              <w:autoSpaceDN w:val="0"/>
              <w:adjustRightInd w:val="0"/>
              <w:spacing w:after="0" w:line="240" w:lineRule="auto"/>
              <w:rPr>
                <w:rFonts w:ascii="Times New Roman" w:hAnsi="Times New Roman" w:cs="Times New Roman"/>
                <w:kern w:val="0"/>
              </w:rPr>
            </w:pPr>
            <w:r>
              <w:rPr>
                <w:rFonts w:ascii="Times New Roman" w:hAnsi="Times New Roman" w:cs="Times New Roman"/>
                <w:kern w:val="0"/>
              </w:rPr>
              <w:t>Інформація розміщена на власному вебсайті емітента</w:t>
            </w:r>
          </w:p>
        </w:tc>
        <w:tc>
          <w:tcPr>
            <w:tcW w:w="5165" w:type="dxa"/>
            <w:tcBorders>
              <w:top w:val="nil"/>
              <w:left w:val="nil"/>
              <w:bottom w:val="single" w:sz="6" w:space="0" w:color="auto"/>
              <w:right w:val="nil"/>
            </w:tcBorders>
            <w:vAlign w:val="bottom"/>
          </w:tcPr>
          <w:p w14:paraId="3F8E1074"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https://www.fakel.ua/</w:t>
            </w:r>
          </w:p>
        </w:tc>
        <w:tc>
          <w:tcPr>
            <w:tcW w:w="1885" w:type="dxa"/>
            <w:tcBorders>
              <w:top w:val="nil"/>
              <w:left w:val="nil"/>
              <w:bottom w:val="single" w:sz="6" w:space="0" w:color="auto"/>
              <w:right w:val="nil"/>
            </w:tcBorders>
            <w:vAlign w:val="bottom"/>
          </w:tcPr>
          <w:p w14:paraId="481A0011"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rPr>
            </w:pPr>
            <w:r>
              <w:rPr>
                <w:rFonts w:ascii="Times New Roman" w:hAnsi="Times New Roman" w:cs="Times New Roman"/>
                <w:kern w:val="0"/>
              </w:rPr>
              <w:t>13.10.2026</w:t>
            </w:r>
          </w:p>
        </w:tc>
      </w:tr>
      <w:tr w:rsidR="00000000" w14:paraId="265BD241" w14:textId="77777777">
        <w:tblPrEx>
          <w:tblCellMar>
            <w:top w:w="0" w:type="dxa"/>
            <w:bottom w:w="0" w:type="dxa"/>
          </w:tblCellMar>
        </w:tblPrEx>
        <w:trPr>
          <w:trHeight w:val="300"/>
        </w:trPr>
        <w:tc>
          <w:tcPr>
            <w:tcW w:w="3415" w:type="dxa"/>
            <w:vMerge/>
            <w:tcBorders>
              <w:top w:val="nil"/>
              <w:left w:val="nil"/>
              <w:bottom w:val="nil"/>
              <w:right w:val="nil"/>
            </w:tcBorders>
          </w:tcPr>
          <w:p w14:paraId="06A97F56"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pPr>
          </w:p>
        </w:tc>
        <w:tc>
          <w:tcPr>
            <w:tcW w:w="5165" w:type="dxa"/>
            <w:tcBorders>
              <w:top w:val="nil"/>
              <w:left w:val="nil"/>
              <w:bottom w:val="nil"/>
              <w:right w:val="nil"/>
            </w:tcBorders>
            <w:vAlign w:val="bottom"/>
          </w:tcPr>
          <w:p w14:paraId="2F86BF44"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(URL-адреса вебсайту)</w:t>
            </w:r>
          </w:p>
        </w:tc>
        <w:tc>
          <w:tcPr>
            <w:tcW w:w="1885" w:type="dxa"/>
            <w:tcBorders>
              <w:top w:val="nil"/>
              <w:left w:val="nil"/>
              <w:bottom w:val="nil"/>
              <w:right w:val="nil"/>
            </w:tcBorders>
            <w:vAlign w:val="bottom"/>
          </w:tcPr>
          <w:p w14:paraId="5F644FF2"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(дата)</w:t>
            </w:r>
          </w:p>
        </w:tc>
      </w:tr>
    </w:tbl>
    <w:p w14:paraId="2B9DCB33" w14:textId="77777777" w:rsidR="00000000" w:rsidRDefault="00000000">
      <w:pPr>
        <w:widowControl w:val="0"/>
        <w:autoSpaceDE w:val="0"/>
        <w:autoSpaceDN w:val="0"/>
        <w:adjustRightInd w:val="0"/>
        <w:spacing w:after="0" w:line="240" w:lineRule="auto"/>
        <w:rPr>
          <w:rFonts w:ascii="Times New Roman" w:hAnsi="Times New Roman" w:cs="Times New Roman"/>
          <w:kern w:val="0"/>
          <w:sz w:val="20"/>
          <w:szCs w:val="20"/>
        </w:rPr>
        <w:sectPr w:rsidR="00000000">
          <w:footerReference w:type="default" r:id="rId6"/>
          <w:pgSz w:w="11905" w:h="16837"/>
          <w:pgMar w:top="570" w:right="720" w:bottom="570" w:left="720" w:header="708" w:footer="360" w:gutter="0"/>
          <w:pgNumType w:start="1"/>
          <w:cols w:space="720"/>
          <w:noEndnote/>
        </w:sectPr>
      </w:pPr>
    </w:p>
    <w:p w14:paraId="5F893738"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8"/>
          <w:szCs w:val="28"/>
        </w:rPr>
      </w:pPr>
      <w:r>
        <w:rPr>
          <w:rFonts w:ascii="Times New Roman" w:hAnsi="Times New Roman" w:cs="Times New Roman"/>
          <w:b/>
          <w:bCs/>
          <w:kern w:val="0"/>
          <w:sz w:val="28"/>
          <w:szCs w:val="28"/>
        </w:rPr>
        <w:lastRenderedPageBreak/>
        <w:t>ВІДОМОСТІ</w:t>
      </w:r>
    </w:p>
    <w:p w14:paraId="2E185B6D"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8"/>
          <w:szCs w:val="28"/>
        </w:rPr>
      </w:pPr>
      <w:r>
        <w:rPr>
          <w:rFonts w:ascii="Times New Roman" w:hAnsi="Times New Roman" w:cs="Times New Roman"/>
          <w:b/>
          <w:bCs/>
          <w:kern w:val="0"/>
          <w:sz w:val="28"/>
          <w:szCs w:val="28"/>
        </w:rPr>
        <w:t>про прийняття рішення про вчинення значних правочинів</w:t>
      </w:r>
    </w:p>
    <w:p w14:paraId="777836A4"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8"/>
          <w:szCs w:val="28"/>
        </w:rPr>
      </w:pP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00"/>
        <w:gridCol w:w="1800"/>
        <w:gridCol w:w="1900"/>
        <w:gridCol w:w="2000"/>
        <w:gridCol w:w="2000"/>
        <w:gridCol w:w="2265"/>
      </w:tblGrid>
      <w:tr w:rsidR="00000000" w14:paraId="6AC68C4B" w14:textId="77777777">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14:paraId="59D52DCF"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 з/п</w:t>
            </w:r>
          </w:p>
        </w:tc>
        <w:tc>
          <w:tcPr>
            <w:tcW w:w="1800" w:type="dxa"/>
            <w:tcBorders>
              <w:top w:val="single" w:sz="6" w:space="0" w:color="auto"/>
              <w:left w:val="single" w:sz="6" w:space="0" w:color="auto"/>
              <w:bottom w:val="single" w:sz="6" w:space="0" w:color="auto"/>
              <w:right w:val="single" w:sz="6" w:space="0" w:color="auto"/>
            </w:tcBorders>
            <w:vAlign w:val="center"/>
          </w:tcPr>
          <w:p w14:paraId="624B3E55"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Дата прийняття рішення</w:t>
            </w:r>
          </w:p>
        </w:tc>
        <w:tc>
          <w:tcPr>
            <w:tcW w:w="1900" w:type="dxa"/>
            <w:tcBorders>
              <w:top w:val="single" w:sz="6" w:space="0" w:color="auto"/>
              <w:left w:val="single" w:sz="6" w:space="0" w:color="auto"/>
              <w:bottom w:val="single" w:sz="6" w:space="0" w:color="auto"/>
              <w:right w:val="single" w:sz="6" w:space="0" w:color="auto"/>
            </w:tcBorders>
            <w:vAlign w:val="center"/>
          </w:tcPr>
          <w:p w14:paraId="7BA31E70"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 xml:space="preserve">Ринкова вартість предмета правочину, </w:t>
            </w:r>
            <w:proofErr w:type="spellStart"/>
            <w:r>
              <w:rPr>
                <w:rFonts w:ascii="Times New Roman" w:hAnsi="Times New Roman" w:cs="Times New Roman"/>
                <w:b/>
                <w:bCs/>
                <w:kern w:val="0"/>
                <w:sz w:val="20"/>
                <w:szCs w:val="20"/>
              </w:rPr>
              <w:t>тис.грн</w:t>
            </w:r>
            <w:proofErr w:type="spellEnd"/>
          </w:p>
        </w:tc>
        <w:tc>
          <w:tcPr>
            <w:tcW w:w="2000" w:type="dxa"/>
            <w:tcBorders>
              <w:top w:val="single" w:sz="6" w:space="0" w:color="auto"/>
              <w:left w:val="single" w:sz="6" w:space="0" w:color="auto"/>
              <w:bottom w:val="single" w:sz="6" w:space="0" w:color="auto"/>
              <w:right w:val="single" w:sz="6" w:space="0" w:color="auto"/>
            </w:tcBorders>
            <w:vAlign w:val="center"/>
          </w:tcPr>
          <w:p w14:paraId="3BD3AD8B"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 xml:space="preserve">Вартість активів емітента за даними останньої річної фінансової звітності, </w:t>
            </w:r>
            <w:proofErr w:type="spellStart"/>
            <w:r>
              <w:rPr>
                <w:rFonts w:ascii="Times New Roman" w:hAnsi="Times New Roman" w:cs="Times New Roman"/>
                <w:b/>
                <w:bCs/>
                <w:kern w:val="0"/>
                <w:sz w:val="20"/>
                <w:szCs w:val="20"/>
              </w:rPr>
              <w:t>тис.грн</w:t>
            </w:r>
            <w:proofErr w:type="spellEnd"/>
          </w:p>
        </w:tc>
        <w:tc>
          <w:tcPr>
            <w:tcW w:w="2000" w:type="dxa"/>
            <w:tcBorders>
              <w:top w:val="single" w:sz="6" w:space="0" w:color="auto"/>
              <w:left w:val="single" w:sz="6" w:space="0" w:color="auto"/>
              <w:bottom w:val="single" w:sz="6" w:space="0" w:color="auto"/>
              <w:right w:val="single" w:sz="6" w:space="0" w:color="auto"/>
            </w:tcBorders>
            <w:vAlign w:val="center"/>
          </w:tcPr>
          <w:p w14:paraId="42B574E7" w14:textId="77777777" w:rsidR="00000000" w:rsidRDefault="00000000">
            <w:pPr>
              <w:widowControl w:val="0"/>
              <w:autoSpaceDE w:val="0"/>
              <w:autoSpaceDN w:val="0"/>
              <w:adjustRightInd w:val="0"/>
              <w:spacing w:after="0" w:line="240" w:lineRule="auto"/>
              <w:jc w:val="center"/>
              <w:rPr>
                <w:rFonts w:ascii="Times New Roman" w:hAnsi="Times New Roman" w:cs="Times New Roman"/>
                <w:b/>
                <w:bCs/>
                <w:kern w:val="0"/>
                <w:sz w:val="20"/>
                <w:szCs w:val="20"/>
              </w:rPr>
            </w:pPr>
            <w:r>
              <w:rPr>
                <w:rFonts w:ascii="Times New Roman" w:hAnsi="Times New Roman" w:cs="Times New Roman"/>
                <w:b/>
                <w:bCs/>
                <w:kern w:val="0"/>
                <w:sz w:val="20"/>
                <w:szCs w:val="20"/>
              </w:rPr>
              <w:t>Співвідношення ринкової вартості майна або послуг, що є предметом правочину, до вартості активів емітента за даними останньої річної фінансової звітності (у відсотках)</w:t>
            </w:r>
          </w:p>
        </w:tc>
        <w:tc>
          <w:tcPr>
            <w:tcW w:w="2265" w:type="dxa"/>
            <w:tcBorders>
              <w:top w:val="single" w:sz="6" w:space="0" w:color="auto"/>
              <w:left w:val="single" w:sz="6" w:space="0" w:color="auto"/>
              <w:bottom w:val="single" w:sz="6" w:space="0" w:color="auto"/>
            </w:tcBorders>
            <w:vAlign w:val="center"/>
          </w:tcPr>
          <w:p w14:paraId="46529FBA"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b/>
                <w:bCs/>
                <w:kern w:val="0"/>
                <w:sz w:val="20"/>
                <w:szCs w:val="20"/>
              </w:rPr>
              <w:t>URL-адреса власного вебсайту, на якому розміщений витяг з протоколу загальних зборів акціонерів / засідання ради, на яких/якому прийняте рішення (для публічних акціонерних товариств)</w:t>
            </w:r>
          </w:p>
        </w:tc>
      </w:tr>
      <w:tr w:rsidR="00000000" w14:paraId="1BE48288" w14:textId="77777777">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vAlign w:val="center"/>
          </w:tcPr>
          <w:p w14:paraId="5E00FE66"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w:t>
            </w:r>
          </w:p>
        </w:tc>
        <w:tc>
          <w:tcPr>
            <w:tcW w:w="1800" w:type="dxa"/>
            <w:tcBorders>
              <w:top w:val="single" w:sz="6" w:space="0" w:color="auto"/>
              <w:left w:val="single" w:sz="6" w:space="0" w:color="auto"/>
              <w:bottom w:val="single" w:sz="6" w:space="0" w:color="auto"/>
              <w:right w:val="single" w:sz="6" w:space="0" w:color="auto"/>
            </w:tcBorders>
            <w:vAlign w:val="center"/>
          </w:tcPr>
          <w:p w14:paraId="672C7149"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2</w:t>
            </w:r>
          </w:p>
        </w:tc>
        <w:tc>
          <w:tcPr>
            <w:tcW w:w="1900" w:type="dxa"/>
            <w:tcBorders>
              <w:top w:val="single" w:sz="6" w:space="0" w:color="auto"/>
              <w:left w:val="single" w:sz="6" w:space="0" w:color="auto"/>
              <w:bottom w:val="single" w:sz="6" w:space="0" w:color="auto"/>
              <w:right w:val="single" w:sz="6" w:space="0" w:color="auto"/>
            </w:tcBorders>
            <w:vAlign w:val="center"/>
          </w:tcPr>
          <w:p w14:paraId="2F02DC61"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3</w:t>
            </w:r>
          </w:p>
        </w:tc>
        <w:tc>
          <w:tcPr>
            <w:tcW w:w="2000" w:type="dxa"/>
            <w:tcBorders>
              <w:top w:val="single" w:sz="6" w:space="0" w:color="auto"/>
              <w:left w:val="single" w:sz="6" w:space="0" w:color="auto"/>
              <w:bottom w:val="single" w:sz="6" w:space="0" w:color="auto"/>
              <w:right w:val="single" w:sz="6" w:space="0" w:color="auto"/>
            </w:tcBorders>
            <w:vAlign w:val="center"/>
          </w:tcPr>
          <w:p w14:paraId="1BCD4D6E"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4</w:t>
            </w:r>
          </w:p>
        </w:tc>
        <w:tc>
          <w:tcPr>
            <w:tcW w:w="2000" w:type="dxa"/>
            <w:tcBorders>
              <w:top w:val="single" w:sz="6" w:space="0" w:color="auto"/>
              <w:left w:val="single" w:sz="6" w:space="0" w:color="auto"/>
              <w:bottom w:val="single" w:sz="6" w:space="0" w:color="auto"/>
              <w:right w:val="single" w:sz="6" w:space="0" w:color="auto"/>
            </w:tcBorders>
            <w:vAlign w:val="center"/>
          </w:tcPr>
          <w:p w14:paraId="2E2046C9"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5</w:t>
            </w:r>
          </w:p>
        </w:tc>
        <w:tc>
          <w:tcPr>
            <w:tcW w:w="2265" w:type="dxa"/>
            <w:tcBorders>
              <w:top w:val="single" w:sz="6" w:space="0" w:color="auto"/>
              <w:left w:val="single" w:sz="6" w:space="0" w:color="auto"/>
              <w:bottom w:val="single" w:sz="6" w:space="0" w:color="auto"/>
            </w:tcBorders>
            <w:vAlign w:val="center"/>
          </w:tcPr>
          <w:p w14:paraId="27484DFC"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6</w:t>
            </w:r>
          </w:p>
        </w:tc>
      </w:tr>
      <w:tr w:rsidR="00000000" w14:paraId="0AAB6030" w14:textId="77777777">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tcPr>
          <w:p w14:paraId="287067E9"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w:t>
            </w:r>
          </w:p>
        </w:tc>
        <w:tc>
          <w:tcPr>
            <w:tcW w:w="1800" w:type="dxa"/>
            <w:tcBorders>
              <w:top w:val="single" w:sz="6" w:space="0" w:color="auto"/>
              <w:left w:val="single" w:sz="6" w:space="0" w:color="auto"/>
              <w:bottom w:val="single" w:sz="6" w:space="0" w:color="auto"/>
              <w:right w:val="single" w:sz="6" w:space="0" w:color="auto"/>
            </w:tcBorders>
          </w:tcPr>
          <w:p w14:paraId="7B4F1A93"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12.10.2026</w:t>
            </w:r>
          </w:p>
        </w:tc>
        <w:tc>
          <w:tcPr>
            <w:tcW w:w="1900" w:type="dxa"/>
            <w:tcBorders>
              <w:top w:val="single" w:sz="6" w:space="0" w:color="auto"/>
              <w:left w:val="single" w:sz="6" w:space="0" w:color="auto"/>
              <w:bottom w:val="single" w:sz="6" w:space="0" w:color="auto"/>
              <w:right w:val="single" w:sz="6" w:space="0" w:color="auto"/>
            </w:tcBorders>
          </w:tcPr>
          <w:p w14:paraId="24BB7DCD"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269 718,52</w:t>
            </w:r>
          </w:p>
        </w:tc>
        <w:tc>
          <w:tcPr>
            <w:tcW w:w="2000" w:type="dxa"/>
            <w:tcBorders>
              <w:top w:val="single" w:sz="6" w:space="0" w:color="auto"/>
              <w:left w:val="single" w:sz="6" w:space="0" w:color="auto"/>
              <w:bottom w:val="single" w:sz="6" w:space="0" w:color="auto"/>
              <w:right w:val="single" w:sz="6" w:space="0" w:color="auto"/>
            </w:tcBorders>
          </w:tcPr>
          <w:p w14:paraId="47D5F9D0"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189 742</w:t>
            </w:r>
          </w:p>
        </w:tc>
        <w:tc>
          <w:tcPr>
            <w:tcW w:w="2000" w:type="dxa"/>
            <w:tcBorders>
              <w:top w:val="single" w:sz="6" w:space="0" w:color="auto"/>
              <w:left w:val="single" w:sz="6" w:space="0" w:color="auto"/>
              <w:bottom w:val="single" w:sz="6" w:space="0" w:color="auto"/>
              <w:right w:val="single" w:sz="6" w:space="0" w:color="auto"/>
            </w:tcBorders>
          </w:tcPr>
          <w:p w14:paraId="76DD8051"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142,15</w:t>
            </w:r>
          </w:p>
        </w:tc>
        <w:tc>
          <w:tcPr>
            <w:tcW w:w="2265" w:type="dxa"/>
            <w:tcBorders>
              <w:top w:val="single" w:sz="6" w:space="0" w:color="auto"/>
              <w:left w:val="single" w:sz="6" w:space="0" w:color="auto"/>
              <w:bottom w:val="single" w:sz="6" w:space="0" w:color="auto"/>
            </w:tcBorders>
          </w:tcPr>
          <w:p w14:paraId="2A90A8E0"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p>
        </w:tc>
      </w:tr>
      <w:tr w:rsidR="00000000" w14:paraId="69AD8DD4" w14:textId="77777777">
        <w:tblPrEx>
          <w:tblCellMar>
            <w:top w:w="0" w:type="dxa"/>
            <w:bottom w:w="0" w:type="dxa"/>
          </w:tblCellMar>
        </w:tblPrEx>
        <w:trPr>
          <w:trHeight w:val="300"/>
        </w:trPr>
        <w:tc>
          <w:tcPr>
            <w:tcW w:w="10465" w:type="dxa"/>
            <w:gridSpan w:val="6"/>
            <w:tcBorders>
              <w:top w:val="single" w:sz="6" w:space="0" w:color="auto"/>
              <w:bottom w:val="single" w:sz="6" w:space="0" w:color="auto"/>
            </w:tcBorders>
            <w:vAlign w:val="center"/>
          </w:tcPr>
          <w:p w14:paraId="6B95B780" w14:textId="77777777" w:rsidR="00000000" w:rsidRDefault="00000000">
            <w:pPr>
              <w:widowControl w:val="0"/>
              <w:autoSpaceDE w:val="0"/>
              <w:autoSpaceDN w:val="0"/>
              <w:adjustRightInd w:val="0"/>
              <w:spacing w:after="0" w:line="240" w:lineRule="auto"/>
              <w:rPr>
                <w:rFonts w:ascii="Times New Roman" w:hAnsi="Times New Roman" w:cs="Times New Roman"/>
                <w:b/>
                <w:bCs/>
                <w:kern w:val="0"/>
                <w:sz w:val="20"/>
                <w:szCs w:val="20"/>
              </w:rPr>
            </w:pPr>
            <w:r>
              <w:rPr>
                <w:rFonts w:ascii="Times New Roman" w:hAnsi="Times New Roman" w:cs="Times New Roman"/>
                <w:b/>
                <w:bCs/>
                <w:kern w:val="0"/>
                <w:sz w:val="20"/>
                <w:szCs w:val="20"/>
              </w:rPr>
              <w:t>Додаткова інформація, необхідна для повного і точного розкриття інформації про дію:</w:t>
            </w:r>
          </w:p>
        </w:tc>
      </w:tr>
      <w:tr w:rsidR="00000000" w14:paraId="0760D684" w14:textId="77777777">
        <w:tblPrEx>
          <w:tblCellMar>
            <w:top w:w="0" w:type="dxa"/>
            <w:bottom w:w="0" w:type="dxa"/>
          </w:tblCellMar>
        </w:tblPrEx>
        <w:trPr>
          <w:trHeight w:val="300"/>
        </w:trPr>
        <w:tc>
          <w:tcPr>
            <w:tcW w:w="10465" w:type="dxa"/>
            <w:gridSpan w:val="6"/>
            <w:tcBorders>
              <w:top w:val="single" w:sz="6" w:space="0" w:color="auto"/>
              <w:bottom w:val="single" w:sz="6" w:space="0" w:color="auto"/>
            </w:tcBorders>
            <w:vAlign w:val="center"/>
          </w:tcPr>
          <w:p w14:paraId="4226E03F"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Дата прийняття рішення про подальше схвалення значного правочину, найменування уповноваженого органу, що його прийняв: рішення загальних зборів акціонерів ПрАТ «Факел» 05.10.2026 (протокол від 12.10.2026);</w:t>
            </w:r>
          </w:p>
          <w:p w14:paraId="6875AFBE"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предмет правочину: поставка Товарів;</w:t>
            </w:r>
          </w:p>
          <w:p w14:paraId="05E40A95"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 xml:space="preserve">ринкова вартість майна або послуг, що є предметом правочину, визначена відповідно до законодавства: 269 718,52 </w:t>
            </w:r>
            <w:proofErr w:type="spellStart"/>
            <w:r>
              <w:rPr>
                <w:rFonts w:ascii="Times New Roman" w:hAnsi="Times New Roman" w:cs="Times New Roman"/>
                <w:kern w:val="0"/>
                <w:sz w:val="20"/>
                <w:szCs w:val="20"/>
              </w:rPr>
              <w:t>тис.грн</w:t>
            </w:r>
            <w:proofErr w:type="spellEnd"/>
            <w:r>
              <w:rPr>
                <w:rFonts w:ascii="Times New Roman" w:hAnsi="Times New Roman" w:cs="Times New Roman"/>
                <w:kern w:val="0"/>
                <w:sz w:val="20"/>
                <w:szCs w:val="20"/>
              </w:rPr>
              <w:t>;</w:t>
            </w:r>
          </w:p>
          <w:p w14:paraId="1876A197"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 xml:space="preserve">вартість активів емітента за даними останньої річної фінансової звітності: 189 742 </w:t>
            </w:r>
            <w:proofErr w:type="spellStart"/>
            <w:r>
              <w:rPr>
                <w:rFonts w:ascii="Times New Roman" w:hAnsi="Times New Roman" w:cs="Times New Roman"/>
                <w:kern w:val="0"/>
                <w:sz w:val="20"/>
                <w:szCs w:val="20"/>
              </w:rPr>
              <w:t>тис.грн</w:t>
            </w:r>
            <w:proofErr w:type="spellEnd"/>
            <w:r>
              <w:rPr>
                <w:rFonts w:ascii="Times New Roman" w:hAnsi="Times New Roman" w:cs="Times New Roman"/>
                <w:kern w:val="0"/>
                <w:sz w:val="20"/>
                <w:szCs w:val="20"/>
              </w:rPr>
              <w:t>.;</w:t>
            </w:r>
          </w:p>
          <w:p w14:paraId="1A21DED2"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співвідношення ринкової вартості майна або послуг, що є предметом правочину, до вартості активів емітента за даними останньої річної фінансової звітності: 142,15%;</w:t>
            </w:r>
          </w:p>
          <w:p w14:paraId="206DE446"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 xml:space="preserve">загальна кількість голосуючих акцій, кількість голосуючих акцій, що зареєстровані для участі у загальних зборах, кількість голосуючих акцій, що проголосували «за» та «проти» прийняття рішення (зазначається, якщо рішення приймається загальними зборами): загальна кількість голосуючих акцій - 4 331 138 шт., кількість голосуючих акцій, що зареєструвалися для участі у загальних зборах – 4 330 803 шт., кількість голосуючих акцій, що проголосували "за" прийняття рішення – 4 330 803 шт., кількість голосуючих акцій, що проголосували "проти" прийняття рішення - 0 </w:t>
            </w:r>
            <w:proofErr w:type="spellStart"/>
            <w:r>
              <w:rPr>
                <w:rFonts w:ascii="Times New Roman" w:hAnsi="Times New Roman" w:cs="Times New Roman"/>
                <w:kern w:val="0"/>
                <w:sz w:val="20"/>
                <w:szCs w:val="20"/>
              </w:rPr>
              <w:t>шт</w:t>
            </w:r>
            <w:proofErr w:type="spellEnd"/>
            <w:r>
              <w:rPr>
                <w:rFonts w:ascii="Times New Roman" w:hAnsi="Times New Roman" w:cs="Times New Roman"/>
                <w:kern w:val="0"/>
                <w:sz w:val="20"/>
                <w:szCs w:val="20"/>
              </w:rPr>
              <w:t>;</w:t>
            </w:r>
          </w:p>
          <w:p w14:paraId="32DB1DEF"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додаткові критерії для віднесення правочину до значного правочину, не передбачені законодавством, якщо вони визначені статутом акціонерного товариства: відсутні;</w:t>
            </w:r>
          </w:p>
          <w:p w14:paraId="1B181EC3"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додаткова інформація, яка необхідна для повного і точного розкриття інформації про дію, виходячи з конкретних умов фінансово-господарської діяльності емітента: відсутня.</w:t>
            </w:r>
          </w:p>
        </w:tc>
      </w:tr>
      <w:tr w:rsidR="00000000" w14:paraId="50FCAAA2" w14:textId="77777777">
        <w:tblPrEx>
          <w:tblCellMar>
            <w:top w:w="0" w:type="dxa"/>
            <w:bottom w:w="0" w:type="dxa"/>
          </w:tblCellMar>
        </w:tblPrEx>
        <w:trPr>
          <w:trHeight w:val="300"/>
        </w:trPr>
        <w:tc>
          <w:tcPr>
            <w:tcW w:w="500" w:type="dxa"/>
            <w:tcBorders>
              <w:top w:val="single" w:sz="6" w:space="0" w:color="auto"/>
              <w:bottom w:val="single" w:sz="6" w:space="0" w:color="auto"/>
              <w:right w:val="single" w:sz="6" w:space="0" w:color="auto"/>
            </w:tcBorders>
          </w:tcPr>
          <w:p w14:paraId="291237DB"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2</w:t>
            </w:r>
          </w:p>
        </w:tc>
        <w:tc>
          <w:tcPr>
            <w:tcW w:w="1800" w:type="dxa"/>
            <w:tcBorders>
              <w:top w:val="single" w:sz="6" w:space="0" w:color="auto"/>
              <w:left w:val="single" w:sz="6" w:space="0" w:color="auto"/>
              <w:bottom w:val="single" w:sz="6" w:space="0" w:color="auto"/>
              <w:right w:val="single" w:sz="6" w:space="0" w:color="auto"/>
            </w:tcBorders>
          </w:tcPr>
          <w:p w14:paraId="3AF5A559"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12.10.2026</w:t>
            </w:r>
          </w:p>
        </w:tc>
        <w:tc>
          <w:tcPr>
            <w:tcW w:w="1900" w:type="dxa"/>
            <w:tcBorders>
              <w:top w:val="single" w:sz="6" w:space="0" w:color="auto"/>
              <w:left w:val="single" w:sz="6" w:space="0" w:color="auto"/>
              <w:bottom w:val="single" w:sz="6" w:space="0" w:color="auto"/>
              <w:right w:val="single" w:sz="6" w:space="0" w:color="auto"/>
            </w:tcBorders>
          </w:tcPr>
          <w:p w14:paraId="7CD52A89"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86 429,4</w:t>
            </w:r>
          </w:p>
        </w:tc>
        <w:tc>
          <w:tcPr>
            <w:tcW w:w="2000" w:type="dxa"/>
            <w:tcBorders>
              <w:top w:val="single" w:sz="6" w:space="0" w:color="auto"/>
              <w:left w:val="single" w:sz="6" w:space="0" w:color="auto"/>
              <w:bottom w:val="single" w:sz="6" w:space="0" w:color="auto"/>
              <w:right w:val="single" w:sz="6" w:space="0" w:color="auto"/>
            </w:tcBorders>
          </w:tcPr>
          <w:p w14:paraId="18CDB67E"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189 742</w:t>
            </w:r>
          </w:p>
        </w:tc>
        <w:tc>
          <w:tcPr>
            <w:tcW w:w="2000" w:type="dxa"/>
            <w:tcBorders>
              <w:top w:val="single" w:sz="6" w:space="0" w:color="auto"/>
              <w:left w:val="single" w:sz="6" w:space="0" w:color="auto"/>
              <w:bottom w:val="single" w:sz="6" w:space="0" w:color="auto"/>
              <w:right w:val="single" w:sz="6" w:space="0" w:color="auto"/>
            </w:tcBorders>
          </w:tcPr>
          <w:p w14:paraId="26DEC8D5"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45,55</w:t>
            </w:r>
          </w:p>
        </w:tc>
        <w:tc>
          <w:tcPr>
            <w:tcW w:w="2265" w:type="dxa"/>
            <w:tcBorders>
              <w:top w:val="single" w:sz="6" w:space="0" w:color="auto"/>
              <w:left w:val="single" w:sz="6" w:space="0" w:color="auto"/>
              <w:bottom w:val="single" w:sz="6" w:space="0" w:color="auto"/>
            </w:tcBorders>
          </w:tcPr>
          <w:p w14:paraId="4BCB4AAD" w14:textId="77777777" w:rsidR="00000000" w:rsidRDefault="00000000">
            <w:pPr>
              <w:widowControl w:val="0"/>
              <w:autoSpaceDE w:val="0"/>
              <w:autoSpaceDN w:val="0"/>
              <w:adjustRightInd w:val="0"/>
              <w:spacing w:after="0" w:line="240" w:lineRule="auto"/>
              <w:jc w:val="center"/>
              <w:rPr>
                <w:rFonts w:ascii="Times New Roman" w:hAnsi="Times New Roman" w:cs="Times New Roman"/>
                <w:kern w:val="0"/>
                <w:sz w:val="20"/>
                <w:szCs w:val="20"/>
              </w:rPr>
            </w:pPr>
          </w:p>
        </w:tc>
      </w:tr>
      <w:tr w:rsidR="00000000" w14:paraId="7335B037" w14:textId="77777777">
        <w:tblPrEx>
          <w:tblCellMar>
            <w:top w:w="0" w:type="dxa"/>
            <w:bottom w:w="0" w:type="dxa"/>
          </w:tblCellMar>
        </w:tblPrEx>
        <w:trPr>
          <w:trHeight w:val="300"/>
        </w:trPr>
        <w:tc>
          <w:tcPr>
            <w:tcW w:w="10465" w:type="dxa"/>
            <w:gridSpan w:val="6"/>
            <w:tcBorders>
              <w:top w:val="single" w:sz="6" w:space="0" w:color="auto"/>
              <w:bottom w:val="single" w:sz="6" w:space="0" w:color="auto"/>
            </w:tcBorders>
            <w:vAlign w:val="center"/>
          </w:tcPr>
          <w:p w14:paraId="082AF640" w14:textId="77777777" w:rsidR="00000000" w:rsidRDefault="00000000">
            <w:pPr>
              <w:widowControl w:val="0"/>
              <w:autoSpaceDE w:val="0"/>
              <w:autoSpaceDN w:val="0"/>
              <w:adjustRightInd w:val="0"/>
              <w:spacing w:after="0" w:line="240" w:lineRule="auto"/>
              <w:rPr>
                <w:rFonts w:ascii="Times New Roman" w:hAnsi="Times New Roman" w:cs="Times New Roman"/>
                <w:b/>
                <w:bCs/>
                <w:kern w:val="0"/>
                <w:sz w:val="20"/>
                <w:szCs w:val="20"/>
              </w:rPr>
            </w:pPr>
            <w:r>
              <w:rPr>
                <w:rFonts w:ascii="Times New Roman" w:hAnsi="Times New Roman" w:cs="Times New Roman"/>
                <w:b/>
                <w:bCs/>
                <w:kern w:val="0"/>
                <w:sz w:val="20"/>
                <w:szCs w:val="20"/>
              </w:rPr>
              <w:t>Додаткова інформація, необхідна для повного і точного розкриття інформації про дію:</w:t>
            </w:r>
          </w:p>
        </w:tc>
      </w:tr>
      <w:tr w:rsidR="00000000" w14:paraId="0D7F442F" w14:textId="77777777">
        <w:tblPrEx>
          <w:tblCellMar>
            <w:top w:w="0" w:type="dxa"/>
            <w:bottom w:w="0" w:type="dxa"/>
          </w:tblCellMar>
        </w:tblPrEx>
        <w:trPr>
          <w:trHeight w:val="300"/>
        </w:trPr>
        <w:tc>
          <w:tcPr>
            <w:tcW w:w="10465" w:type="dxa"/>
            <w:gridSpan w:val="6"/>
            <w:tcBorders>
              <w:top w:val="single" w:sz="6" w:space="0" w:color="auto"/>
              <w:bottom w:val="single" w:sz="6" w:space="0" w:color="auto"/>
            </w:tcBorders>
            <w:vAlign w:val="center"/>
          </w:tcPr>
          <w:p w14:paraId="6DB62C4F"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Дата прийняття рішення про подальше схвалення значного правочину, найменування уповноваженого органу, що його прийняв: рішення загальних зборів акціонерів ПрАТ «Факел» 05.10.2026 (протокол від 12.10.2026);</w:t>
            </w:r>
          </w:p>
          <w:p w14:paraId="00CEB622"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предмет правочину: Іпотечний договір;</w:t>
            </w:r>
          </w:p>
          <w:p w14:paraId="152DEB54"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 xml:space="preserve">ринкова вартість майна або послуг, що є предметом правочину, визначена відповідно до законодавства: 86 429,4 </w:t>
            </w:r>
            <w:proofErr w:type="spellStart"/>
            <w:r>
              <w:rPr>
                <w:rFonts w:ascii="Times New Roman" w:hAnsi="Times New Roman" w:cs="Times New Roman"/>
                <w:kern w:val="0"/>
                <w:sz w:val="20"/>
                <w:szCs w:val="20"/>
              </w:rPr>
              <w:t>тис.грн</w:t>
            </w:r>
            <w:proofErr w:type="spellEnd"/>
            <w:r>
              <w:rPr>
                <w:rFonts w:ascii="Times New Roman" w:hAnsi="Times New Roman" w:cs="Times New Roman"/>
                <w:kern w:val="0"/>
                <w:sz w:val="20"/>
                <w:szCs w:val="20"/>
              </w:rPr>
              <w:t>;</w:t>
            </w:r>
          </w:p>
          <w:p w14:paraId="1DA9B91B"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 xml:space="preserve">вартість активів емітента за даними останньої річної фінансової звітності: 189 742 </w:t>
            </w:r>
            <w:proofErr w:type="spellStart"/>
            <w:r>
              <w:rPr>
                <w:rFonts w:ascii="Times New Roman" w:hAnsi="Times New Roman" w:cs="Times New Roman"/>
                <w:kern w:val="0"/>
                <w:sz w:val="20"/>
                <w:szCs w:val="20"/>
              </w:rPr>
              <w:t>тис.грн</w:t>
            </w:r>
            <w:proofErr w:type="spellEnd"/>
            <w:r>
              <w:rPr>
                <w:rFonts w:ascii="Times New Roman" w:hAnsi="Times New Roman" w:cs="Times New Roman"/>
                <w:kern w:val="0"/>
                <w:sz w:val="20"/>
                <w:szCs w:val="20"/>
              </w:rPr>
              <w:t>.;</w:t>
            </w:r>
          </w:p>
          <w:p w14:paraId="132EF9A5"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співвідношення ринкової вартості майна або послуг, що є предметом правочину, до вартості активів емітента за даними останньої річної фінансової звітності: 45,55%;</w:t>
            </w:r>
          </w:p>
          <w:p w14:paraId="0C2BECF3"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 xml:space="preserve">загальна кількість голосуючих акцій, кількість голосуючих акцій, що зареєстровані для участі у загальних зборах, кількість голосуючих акцій, що проголосували «за» та «проти» прийняття рішення (зазначається, якщо рішення приймається загальними зборами): загальна кількість голосуючих акцій - 4 331 138 шт., кількість голосуючих акцій, що зареєструвалися для участі у загальних зборах – 4 330 803 шт., кількість голосуючих акцій, що проголосували "за" прийняття рішення – 4 330 803 шт., кількість голосуючих акцій, що проголосували "проти" прийняття рішення - 0 </w:t>
            </w:r>
            <w:proofErr w:type="spellStart"/>
            <w:r>
              <w:rPr>
                <w:rFonts w:ascii="Times New Roman" w:hAnsi="Times New Roman" w:cs="Times New Roman"/>
                <w:kern w:val="0"/>
                <w:sz w:val="20"/>
                <w:szCs w:val="20"/>
              </w:rPr>
              <w:t>шт</w:t>
            </w:r>
            <w:proofErr w:type="spellEnd"/>
            <w:r>
              <w:rPr>
                <w:rFonts w:ascii="Times New Roman" w:hAnsi="Times New Roman" w:cs="Times New Roman"/>
                <w:kern w:val="0"/>
                <w:sz w:val="20"/>
                <w:szCs w:val="20"/>
              </w:rPr>
              <w:t>;</w:t>
            </w:r>
          </w:p>
          <w:p w14:paraId="0C2DD260"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додаткові критерії для віднесення правочину до значного правочину, не передбачені законодавством, якщо вони визначені статутом акціонерного товариства: відсутні;</w:t>
            </w:r>
          </w:p>
          <w:p w14:paraId="54EC6F86" w14:textId="77777777" w:rsidR="00000000" w:rsidRDefault="00000000">
            <w:pPr>
              <w:widowControl w:val="0"/>
              <w:autoSpaceDE w:val="0"/>
              <w:autoSpaceDN w:val="0"/>
              <w:adjustRightInd w:val="0"/>
              <w:spacing w:after="0" w:line="240" w:lineRule="auto"/>
              <w:jc w:val="both"/>
              <w:rPr>
                <w:rFonts w:ascii="Times New Roman" w:hAnsi="Times New Roman" w:cs="Times New Roman"/>
                <w:kern w:val="0"/>
                <w:sz w:val="20"/>
                <w:szCs w:val="20"/>
              </w:rPr>
            </w:pPr>
            <w:r>
              <w:rPr>
                <w:rFonts w:ascii="Times New Roman" w:hAnsi="Times New Roman" w:cs="Times New Roman"/>
                <w:kern w:val="0"/>
                <w:sz w:val="20"/>
                <w:szCs w:val="20"/>
              </w:rPr>
              <w:t>додаткова інформація, яка необхідна для повного і точного розкриття інформації про дію, виходячи з конкретних умов фінансово-господарської діяльності емітента: відсутня.</w:t>
            </w:r>
          </w:p>
        </w:tc>
      </w:tr>
    </w:tbl>
    <w:p w14:paraId="6667686F" w14:textId="77777777" w:rsidR="00C2480C" w:rsidRDefault="00C2480C"/>
    <w:sectPr w:rsidR="00C2480C">
      <w:pgSz w:w="11905" w:h="16837"/>
      <w:pgMar w:top="570" w:right="720" w:bottom="570" w:left="720" w:header="708" w:footer="36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05661" w14:textId="77777777" w:rsidR="00C2480C" w:rsidRDefault="00C2480C">
      <w:pPr>
        <w:spacing w:after="0" w:line="240" w:lineRule="auto"/>
      </w:pPr>
      <w:r>
        <w:separator/>
      </w:r>
    </w:p>
  </w:endnote>
  <w:endnote w:type="continuationSeparator" w:id="0">
    <w:p w14:paraId="753EED8C" w14:textId="77777777" w:rsidR="00C2480C" w:rsidRDefault="00C24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altName w:val="Times New Roman CYR"/>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12DD7" w14:textId="77777777" w:rsidR="00000000" w:rsidRDefault="00000000">
    <w:pPr>
      <w:widowControl w:val="0"/>
      <w:autoSpaceDE w:val="0"/>
      <w:autoSpaceDN w:val="0"/>
      <w:adjustRightInd w:val="0"/>
      <w:spacing w:after="0" w:line="240" w:lineRule="auto"/>
      <w:jc w:val="right"/>
      <w:rPr>
        <w:rFonts w:ascii="Times New Roman" w:hAnsi="Times New Roman" w:cs="Times New Roman"/>
        <w:kern w:val="0"/>
        <w:sz w:val="20"/>
        <w:szCs w:val="20"/>
        <w:lang w:val="ru-RU"/>
      </w:rPr>
    </w:pPr>
    <w:r>
      <w:rPr>
        <w:rFonts w:ascii="Times New Roman" w:hAnsi="Times New Roman" w:cs="Times New Roman"/>
        <w:kern w:val="0"/>
        <w:sz w:val="20"/>
        <w:szCs w:val="20"/>
        <w:lang w:val="ru-RU"/>
      </w:rPr>
      <w:fldChar w:fldCharType="begin"/>
    </w:r>
    <w:r>
      <w:rPr>
        <w:rFonts w:ascii="Times New Roman" w:hAnsi="Times New Roman" w:cs="Times New Roman"/>
        <w:kern w:val="0"/>
        <w:sz w:val="20"/>
        <w:szCs w:val="20"/>
        <w:lang w:val="ru-RU"/>
      </w:rPr>
      <w:instrText>PAGE</w:instrText>
    </w:r>
    <w:r w:rsidR="002770C7">
      <w:rPr>
        <w:rFonts w:ascii="Times New Roman" w:hAnsi="Times New Roman" w:cs="Times New Roman"/>
        <w:kern w:val="0"/>
        <w:sz w:val="20"/>
        <w:szCs w:val="20"/>
        <w:lang w:val="ru-RU"/>
      </w:rPr>
      <w:fldChar w:fldCharType="separate"/>
    </w:r>
    <w:r w:rsidR="002770C7">
      <w:rPr>
        <w:rFonts w:ascii="Times New Roman" w:hAnsi="Times New Roman" w:cs="Times New Roman"/>
        <w:noProof/>
        <w:kern w:val="0"/>
        <w:sz w:val="20"/>
        <w:szCs w:val="20"/>
        <w:lang w:val="ru-RU"/>
      </w:rPr>
      <w:t>1</w:t>
    </w:r>
    <w:r>
      <w:rPr>
        <w:rFonts w:ascii="Times New Roman" w:hAnsi="Times New Roman" w:cs="Times New Roman"/>
        <w:kern w:val="0"/>
        <w:sz w:val="20"/>
        <w:szCs w:val="20"/>
        <w:lang w:val="ru-RU"/>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69D3B" w14:textId="77777777" w:rsidR="00C2480C" w:rsidRDefault="00C2480C">
      <w:pPr>
        <w:spacing w:after="0" w:line="240" w:lineRule="auto"/>
      </w:pPr>
      <w:r>
        <w:separator/>
      </w:r>
    </w:p>
  </w:footnote>
  <w:footnote w:type="continuationSeparator" w:id="0">
    <w:p w14:paraId="7F968802" w14:textId="77777777" w:rsidR="00C2480C" w:rsidRDefault="00C2480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0C7"/>
    <w:rsid w:val="002770C7"/>
    <w:rsid w:val="006954E5"/>
    <w:rsid w:val="00C2480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8A17C9"/>
  <w14:defaultImageDpi w14:val="0"/>
  <w15:docId w15:val="{CC381FDA-27AF-4C11-ADC9-0954621B5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uk-UA" w:eastAsia="uk-U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3924</Words>
  <Characters>2237</Characters>
  <Application>Microsoft Office Word</Application>
  <DocSecurity>0</DocSecurity>
  <Lines>18</Lines>
  <Paragraphs>12</Paragraphs>
  <ScaleCrop>false</ScaleCrop>
  <Company/>
  <LinksUpToDate>false</LinksUpToDate>
  <CharactersWithSpaces>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Олена Ступак</dc:creator>
  <cp:keywords/>
  <dc:description/>
  <cp:lastModifiedBy>Олена Ступак</cp:lastModifiedBy>
  <cp:revision>2</cp:revision>
  <dcterms:created xsi:type="dcterms:W3CDTF">2026-10-13T08:36:00Z</dcterms:created>
  <dcterms:modified xsi:type="dcterms:W3CDTF">2026-10-13T08:36:00Z</dcterms:modified>
</cp:coreProperties>
</file>