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47F05"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ТИТУЛЬНИЙ АРКУШ</w:t>
      </w:r>
    </w:p>
    <w:p w14:paraId="429994A5"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6C7DF4" w14:paraId="2348D32B" w14:textId="77777777">
        <w:trPr>
          <w:trHeight w:val="300"/>
        </w:trPr>
        <w:tc>
          <w:tcPr>
            <w:tcW w:w="5230" w:type="dxa"/>
            <w:tcBorders>
              <w:top w:val="nil"/>
              <w:left w:val="nil"/>
              <w:bottom w:val="single" w:sz="6" w:space="0" w:color="auto"/>
              <w:right w:val="nil"/>
            </w:tcBorders>
            <w:vAlign w:val="bottom"/>
          </w:tcPr>
          <w:p w14:paraId="18E84FC4" w14:textId="716B63B0" w:rsidR="006C7DF4" w:rsidRDefault="008466B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r w:rsidR="00A72B38">
              <w:rPr>
                <w:rFonts w:ascii="Times New Roman" w:hAnsi="Times New Roman" w:cs="Times New Roman"/>
                <w:sz w:val="24"/>
                <w:szCs w:val="24"/>
              </w:rPr>
              <w:t>.10.2026</w:t>
            </w:r>
          </w:p>
        </w:tc>
      </w:tr>
      <w:tr w:rsidR="006C7DF4" w14:paraId="303DACD0" w14:textId="77777777">
        <w:tblPrEx>
          <w:tblBorders>
            <w:bottom w:val="none" w:sz="0" w:space="0" w:color="auto"/>
          </w:tblBorders>
        </w:tblPrEx>
        <w:trPr>
          <w:trHeight w:val="300"/>
        </w:trPr>
        <w:tc>
          <w:tcPr>
            <w:tcW w:w="5230" w:type="dxa"/>
            <w:tcBorders>
              <w:top w:val="nil"/>
              <w:left w:val="nil"/>
              <w:bottom w:val="nil"/>
              <w:right w:val="nil"/>
            </w:tcBorders>
            <w:vAlign w:val="bottom"/>
          </w:tcPr>
          <w:p w14:paraId="3BD9DE9B"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 реєстрації емітентом електронного документа)</w:t>
            </w:r>
          </w:p>
        </w:tc>
      </w:tr>
      <w:tr w:rsidR="006C7DF4" w14:paraId="3C1E222C" w14:textId="77777777">
        <w:trPr>
          <w:trHeight w:val="300"/>
        </w:trPr>
        <w:tc>
          <w:tcPr>
            <w:tcW w:w="5230" w:type="dxa"/>
            <w:tcBorders>
              <w:top w:val="nil"/>
              <w:left w:val="nil"/>
              <w:bottom w:val="single" w:sz="6" w:space="0" w:color="auto"/>
              <w:right w:val="nil"/>
            </w:tcBorders>
            <w:vAlign w:val="bottom"/>
          </w:tcPr>
          <w:p w14:paraId="491B6C7F" w14:textId="06050F00" w:rsidR="006C7DF4" w:rsidRDefault="008466B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r w:rsidR="00A72B38">
              <w:rPr>
                <w:rFonts w:ascii="Times New Roman" w:hAnsi="Times New Roman" w:cs="Times New Roman"/>
                <w:sz w:val="24"/>
                <w:szCs w:val="24"/>
              </w:rPr>
              <w:t>/10-1</w:t>
            </w:r>
          </w:p>
        </w:tc>
      </w:tr>
      <w:tr w:rsidR="006C7DF4" w14:paraId="2488D20B" w14:textId="77777777">
        <w:trPr>
          <w:trHeight w:val="300"/>
        </w:trPr>
        <w:tc>
          <w:tcPr>
            <w:tcW w:w="5230" w:type="dxa"/>
            <w:tcBorders>
              <w:top w:val="nil"/>
              <w:left w:val="nil"/>
              <w:bottom w:val="nil"/>
              <w:right w:val="nil"/>
            </w:tcBorders>
            <w:vAlign w:val="bottom"/>
          </w:tcPr>
          <w:p w14:paraId="6B11CA3F"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(вихідний реєстраційний номер електронного документа)</w:t>
            </w:r>
          </w:p>
        </w:tc>
      </w:tr>
    </w:tbl>
    <w:p w14:paraId="2FEEACEA" w14:textId="77777777" w:rsidR="006C7DF4" w:rsidRDefault="00A72B38">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6C7DF4" w14:paraId="41D25A1A" w14:textId="77777777">
        <w:trPr>
          <w:trHeight w:val="300"/>
        </w:trPr>
        <w:tc>
          <w:tcPr>
            <w:tcW w:w="10465" w:type="dxa"/>
            <w:tcBorders>
              <w:top w:val="nil"/>
              <w:left w:val="nil"/>
              <w:bottom w:val="nil"/>
              <w:right w:val="nil"/>
            </w:tcBorders>
            <w:vAlign w:val="bottom"/>
          </w:tcPr>
          <w:p w14:paraId="726C5A55"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14:paraId="3DD76E96" w14:textId="77777777" w:rsidR="006C7DF4" w:rsidRDefault="006C7DF4">
      <w:pPr>
        <w:widowControl w:val="0"/>
        <w:autoSpaceDE w:val="0"/>
        <w:autoSpaceDN w:val="0"/>
        <w:adjustRightInd w:val="0"/>
        <w:spacing w:after="0" w:line="240" w:lineRule="auto"/>
        <w:rPr>
          <w:rFonts w:ascii="Times New Roman" w:hAnsi="Times New Roman" w:cs="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6C7DF4" w14:paraId="79EA62D0" w14:textId="77777777">
        <w:trPr>
          <w:trHeight w:val="200"/>
        </w:trPr>
        <w:tc>
          <w:tcPr>
            <w:tcW w:w="3415" w:type="dxa"/>
            <w:tcBorders>
              <w:top w:val="nil"/>
              <w:left w:val="nil"/>
              <w:bottom w:val="single" w:sz="6" w:space="0" w:color="auto"/>
              <w:right w:val="nil"/>
            </w:tcBorders>
            <w:vAlign w:val="bottom"/>
          </w:tcPr>
          <w:p w14:paraId="0CBA53DA"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Генеральний директор</w:t>
            </w:r>
          </w:p>
        </w:tc>
        <w:tc>
          <w:tcPr>
            <w:tcW w:w="216" w:type="dxa"/>
            <w:tcBorders>
              <w:top w:val="nil"/>
              <w:left w:val="nil"/>
              <w:bottom w:val="nil"/>
              <w:right w:val="nil"/>
            </w:tcBorders>
          </w:tcPr>
          <w:p w14:paraId="632F8020"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4"/>
                <w:szCs w:val="24"/>
              </w:rPr>
            </w:pPr>
          </w:p>
        </w:tc>
        <w:tc>
          <w:tcPr>
            <w:tcW w:w="3334" w:type="dxa"/>
            <w:tcBorders>
              <w:top w:val="nil"/>
              <w:left w:val="nil"/>
              <w:bottom w:val="single" w:sz="6" w:space="0" w:color="auto"/>
              <w:right w:val="nil"/>
            </w:tcBorders>
            <w:vAlign w:val="bottom"/>
          </w:tcPr>
          <w:p w14:paraId="305332BA"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4"/>
                <w:szCs w:val="24"/>
              </w:rPr>
            </w:pPr>
          </w:p>
        </w:tc>
        <w:tc>
          <w:tcPr>
            <w:tcW w:w="216" w:type="dxa"/>
            <w:tcBorders>
              <w:top w:val="nil"/>
              <w:left w:val="nil"/>
              <w:bottom w:val="nil"/>
              <w:right w:val="nil"/>
            </w:tcBorders>
          </w:tcPr>
          <w:p w14:paraId="02CDE104"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4"/>
                <w:szCs w:val="24"/>
              </w:rPr>
            </w:pPr>
          </w:p>
        </w:tc>
        <w:tc>
          <w:tcPr>
            <w:tcW w:w="3284" w:type="dxa"/>
            <w:tcBorders>
              <w:top w:val="nil"/>
              <w:left w:val="nil"/>
              <w:bottom w:val="single" w:sz="6" w:space="0" w:color="auto"/>
              <w:right w:val="nil"/>
            </w:tcBorders>
            <w:vAlign w:val="bottom"/>
          </w:tcPr>
          <w:p w14:paraId="2F3E08F5"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Севостьянов Ю.Б.</w:t>
            </w:r>
          </w:p>
        </w:tc>
      </w:tr>
      <w:tr w:rsidR="006C7DF4" w14:paraId="7D8EBB92" w14:textId="77777777">
        <w:trPr>
          <w:trHeight w:val="200"/>
        </w:trPr>
        <w:tc>
          <w:tcPr>
            <w:tcW w:w="3415" w:type="dxa"/>
            <w:tcBorders>
              <w:top w:val="nil"/>
              <w:left w:val="nil"/>
              <w:bottom w:val="nil"/>
              <w:right w:val="nil"/>
            </w:tcBorders>
          </w:tcPr>
          <w:p w14:paraId="2FDDC52B"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w:t>
            </w:r>
          </w:p>
        </w:tc>
        <w:tc>
          <w:tcPr>
            <w:tcW w:w="216" w:type="dxa"/>
            <w:tcBorders>
              <w:top w:val="nil"/>
              <w:left w:val="nil"/>
              <w:bottom w:val="nil"/>
              <w:right w:val="nil"/>
            </w:tcBorders>
          </w:tcPr>
          <w:p w14:paraId="69E1C2FB"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0"/>
                <w:szCs w:val="20"/>
              </w:rPr>
            </w:pPr>
          </w:p>
        </w:tc>
        <w:tc>
          <w:tcPr>
            <w:tcW w:w="3334" w:type="dxa"/>
            <w:tcBorders>
              <w:top w:val="nil"/>
              <w:left w:val="nil"/>
              <w:bottom w:val="nil"/>
              <w:right w:val="nil"/>
            </w:tcBorders>
          </w:tcPr>
          <w:p w14:paraId="15021883"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14:paraId="0C7320B3"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0"/>
                <w:szCs w:val="20"/>
              </w:rPr>
            </w:pPr>
          </w:p>
        </w:tc>
        <w:tc>
          <w:tcPr>
            <w:tcW w:w="3284" w:type="dxa"/>
            <w:tcBorders>
              <w:top w:val="nil"/>
              <w:left w:val="nil"/>
              <w:bottom w:val="nil"/>
              <w:right w:val="nil"/>
            </w:tcBorders>
          </w:tcPr>
          <w:p w14:paraId="37BA34F7"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(прізвище та ініціали керівника або уповноваженої особи емітента)</w:t>
            </w:r>
          </w:p>
        </w:tc>
      </w:tr>
    </w:tbl>
    <w:p w14:paraId="67BEDA0E" w14:textId="77777777" w:rsidR="006C7DF4" w:rsidRDefault="006C7DF4">
      <w:pPr>
        <w:widowControl w:val="0"/>
        <w:autoSpaceDE w:val="0"/>
        <w:autoSpaceDN w:val="0"/>
        <w:adjustRightInd w:val="0"/>
        <w:spacing w:after="0" w:line="240" w:lineRule="auto"/>
        <w:rPr>
          <w:rFonts w:ascii="Times New Roman" w:hAnsi="Times New Roman" w:cs="Times New Roman"/>
          <w:sz w:val="20"/>
          <w:szCs w:val="20"/>
        </w:rPr>
      </w:pPr>
    </w:p>
    <w:p w14:paraId="1FC03B68"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Особлива інформація / інформація про іпотечні цінні папери/ сертифікати фонду операцій з нерухомістю емітента</w:t>
      </w:r>
    </w:p>
    <w:p w14:paraId="2CB3C2F9" w14:textId="77777777" w:rsidR="006C7DF4" w:rsidRDefault="006C7DF4">
      <w:pPr>
        <w:widowControl w:val="0"/>
        <w:autoSpaceDE w:val="0"/>
        <w:autoSpaceDN w:val="0"/>
        <w:adjustRightInd w:val="0"/>
        <w:spacing w:after="0" w:line="240" w:lineRule="auto"/>
        <w:rPr>
          <w:rFonts w:ascii="Times New Roman" w:hAnsi="Times New Roman" w:cs="Times New Roman"/>
          <w:b/>
          <w:bCs/>
          <w:sz w:val="28"/>
          <w:szCs w:val="28"/>
        </w:rPr>
      </w:pPr>
    </w:p>
    <w:p w14:paraId="074B9B29"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І. Загальні відомості</w:t>
      </w:r>
    </w:p>
    <w:p w14:paraId="7A8C190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Повне найменування: Приватне акціонерне товариство «Факел»</w:t>
      </w:r>
    </w:p>
    <w:p w14:paraId="6BAA31E2"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Організаційно-правова форма: Акціонерне товариство</w:t>
      </w:r>
    </w:p>
    <w:p w14:paraId="7B48986B"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Місцезнаходження: 08500, Київська обл., м. Фастів, пл. Промвузол</w:t>
      </w:r>
    </w:p>
    <w:p w14:paraId="2B0C41AD"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Ідентифікаційний код юридичної особи: 04601469</w:t>
      </w:r>
    </w:p>
    <w:p w14:paraId="1040469E"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Міжміський код та номер телефону: (045) 656-67-60, (045) 656-67-62</w:t>
      </w:r>
    </w:p>
    <w:p w14:paraId="0CE1DACB"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Адреса електронної пошти, яка є офіційним каналом зв’язку: info@fakel.ua</w:t>
      </w:r>
    </w:p>
    <w:p w14:paraId="4F93447C"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14:paraId="5FB71F5D"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14:paraId="0F3B1638" w14:textId="77777777" w:rsidR="006C7DF4" w:rsidRDefault="006C7DF4">
      <w:pPr>
        <w:widowControl w:val="0"/>
        <w:autoSpaceDE w:val="0"/>
        <w:autoSpaceDN w:val="0"/>
        <w:adjustRightInd w:val="0"/>
        <w:spacing w:after="0" w:line="240" w:lineRule="auto"/>
        <w:rPr>
          <w:rFonts w:ascii="Times New Roman" w:hAnsi="Times New Roman" w:cs="Times New Roman"/>
          <w:sz w:val="24"/>
          <w:szCs w:val="24"/>
        </w:rPr>
      </w:pPr>
    </w:p>
    <w:p w14:paraId="68D0173E"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ІІ. Дані про дату та місце оприлюднення інформації </w:t>
      </w:r>
    </w:p>
    <w:p w14:paraId="12188882" w14:textId="77777777" w:rsidR="006C7DF4" w:rsidRDefault="006C7DF4">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6C7DF4" w14:paraId="3C5957A4" w14:textId="77777777">
        <w:trPr>
          <w:trHeight w:val="300"/>
        </w:trPr>
        <w:tc>
          <w:tcPr>
            <w:tcW w:w="3415" w:type="dxa"/>
            <w:vMerge w:val="restart"/>
            <w:tcBorders>
              <w:top w:val="nil"/>
              <w:left w:val="nil"/>
              <w:bottom w:val="nil"/>
              <w:right w:val="nil"/>
            </w:tcBorders>
          </w:tcPr>
          <w:p w14:paraId="523994AE" w14:textId="77777777" w:rsidR="006C7DF4" w:rsidRDefault="00A72B3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14:paraId="0609AC8F"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https://www.fakel.ua/ua/accounts/</w:t>
            </w:r>
          </w:p>
        </w:tc>
        <w:tc>
          <w:tcPr>
            <w:tcW w:w="1885" w:type="dxa"/>
            <w:tcBorders>
              <w:top w:val="nil"/>
              <w:left w:val="nil"/>
              <w:bottom w:val="single" w:sz="6" w:space="0" w:color="auto"/>
              <w:right w:val="nil"/>
            </w:tcBorders>
            <w:vAlign w:val="bottom"/>
          </w:tcPr>
          <w:p w14:paraId="3C2D9928" w14:textId="0E291A6D" w:rsidR="006C7DF4" w:rsidRDefault="008466B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r w:rsidR="00A72B38">
              <w:rPr>
                <w:rFonts w:ascii="Times New Roman" w:hAnsi="Times New Roman" w:cs="Times New Roman"/>
                <w:sz w:val="24"/>
                <w:szCs w:val="24"/>
              </w:rPr>
              <w:t>.10.2026</w:t>
            </w:r>
          </w:p>
        </w:tc>
      </w:tr>
      <w:tr w:rsidR="006C7DF4" w14:paraId="2183D940" w14:textId="77777777">
        <w:trPr>
          <w:trHeight w:val="300"/>
        </w:trPr>
        <w:tc>
          <w:tcPr>
            <w:tcW w:w="3415" w:type="dxa"/>
            <w:vMerge/>
            <w:tcBorders>
              <w:top w:val="nil"/>
              <w:left w:val="nil"/>
              <w:bottom w:val="nil"/>
              <w:right w:val="nil"/>
            </w:tcBorders>
          </w:tcPr>
          <w:p w14:paraId="4A840CB0" w14:textId="77777777" w:rsidR="006C7DF4" w:rsidRDefault="006C7DF4">
            <w:pPr>
              <w:widowControl w:val="0"/>
              <w:autoSpaceDE w:val="0"/>
              <w:autoSpaceDN w:val="0"/>
              <w:adjustRightInd w:val="0"/>
              <w:spacing w:after="0" w:line="240" w:lineRule="auto"/>
              <w:rPr>
                <w:rFonts w:ascii="Times New Roman" w:hAnsi="Times New Roman" w:cs="Times New Roman"/>
                <w:sz w:val="20"/>
                <w:szCs w:val="20"/>
              </w:rPr>
            </w:pPr>
          </w:p>
        </w:tc>
        <w:tc>
          <w:tcPr>
            <w:tcW w:w="5165" w:type="dxa"/>
            <w:tcBorders>
              <w:top w:val="nil"/>
              <w:left w:val="nil"/>
              <w:bottom w:val="nil"/>
              <w:right w:val="nil"/>
            </w:tcBorders>
            <w:vAlign w:val="bottom"/>
          </w:tcPr>
          <w:p w14:paraId="46E79B2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(URL-адреса вебсайту)</w:t>
            </w:r>
          </w:p>
        </w:tc>
        <w:tc>
          <w:tcPr>
            <w:tcW w:w="1885" w:type="dxa"/>
            <w:tcBorders>
              <w:top w:val="nil"/>
              <w:left w:val="nil"/>
              <w:bottom w:val="nil"/>
              <w:right w:val="nil"/>
            </w:tcBorders>
            <w:vAlign w:val="bottom"/>
          </w:tcPr>
          <w:p w14:paraId="3E38BBA7"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bl>
    <w:p w14:paraId="5A322F16" w14:textId="77777777" w:rsidR="006C7DF4" w:rsidRDefault="006C7DF4">
      <w:pPr>
        <w:widowControl w:val="0"/>
        <w:autoSpaceDE w:val="0"/>
        <w:autoSpaceDN w:val="0"/>
        <w:adjustRightInd w:val="0"/>
        <w:spacing w:after="0" w:line="240" w:lineRule="auto"/>
        <w:rPr>
          <w:rFonts w:ascii="Times New Roman" w:hAnsi="Times New Roman" w:cs="Times New Roman"/>
          <w:sz w:val="20"/>
          <w:szCs w:val="20"/>
        </w:rPr>
        <w:sectPr w:rsidR="006C7DF4">
          <w:footerReference w:type="default" r:id="rId6"/>
          <w:pgSz w:w="11905" w:h="16837"/>
          <w:pgMar w:top="570" w:right="720" w:bottom="570" w:left="720" w:header="708" w:footer="360" w:gutter="0"/>
          <w:pgNumType w:start="1"/>
          <w:cols w:space="720"/>
          <w:noEndnote/>
        </w:sectPr>
      </w:pPr>
    </w:p>
    <w:p w14:paraId="524539BB"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ВІДОМОСТІ</w:t>
      </w:r>
    </w:p>
    <w:p w14:paraId="44C49380"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про прийняття рішення про попереднє надання згоди на вчинення значних правочинів</w:t>
      </w:r>
    </w:p>
    <w:p w14:paraId="445B63CD" w14:textId="77777777" w:rsidR="006C7DF4" w:rsidRDefault="006C7DF4">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1300"/>
        <w:gridCol w:w="2500"/>
        <w:gridCol w:w="2500"/>
        <w:gridCol w:w="3665"/>
      </w:tblGrid>
      <w:tr w:rsidR="006C7DF4" w14:paraId="1B4D9311" w14:textId="77777777">
        <w:trPr>
          <w:trHeight w:val="300"/>
        </w:trPr>
        <w:tc>
          <w:tcPr>
            <w:tcW w:w="500" w:type="dxa"/>
            <w:tcBorders>
              <w:top w:val="single" w:sz="6" w:space="0" w:color="auto"/>
              <w:bottom w:val="single" w:sz="6" w:space="0" w:color="auto"/>
              <w:right w:val="single" w:sz="6" w:space="0" w:color="auto"/>
            </w:tcBorders>
            <w:vAlign w:val="center"/>
          </w:tcPr>
          <w:p w14:paraId="01108233"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з/п</w:t>
            </w:r>
          </w:p>
        </w:tc>
        <w:tc>
          <w:tcPr>
            <w:tcW w:w="1300" w:type="dxa"/>
            <w:tcBorders>
              <w:top w:val="single" w:sz="6" w:space="0" w:color="auto"/>
              <w:left w:val="single" w:sz="6" w:space="0" w:color="auto"/>
              <w:bottom w:val="single" w:sz="6" w:space="0" w:color="auto"/>
              <w:right w:val="single" w:sz="6" w:space="0" w:color="auto"/>
            </w:tcBorders>
            <w:vAlign w:val="center"/>
          </w:tcPr>
          <w:p w14:paraId="715F8005"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Дата прийняття рішення</w:t>
            </w:r>
          </w:p>
        </w:tc>
        <w:tc>
          <w:tcPr>
            <w:tcW w:w="2500" w:type="dxa"/>
            <w:tcBorders>
              <w:top w:val="single" w:sz="6" w:space="0" w:color="auto"/>
              <w:left w:val="single" w:sz="6" w:space="0" w:color="auto"/>
              <w:bottom w:val="single" w:sz="6" w:space="0" w:color="auto"/>
              <w:right w:val="single" w:sz="6" w:space="0" w:color="auto"/>
            </w:tcBorders>
            <w:vAlign w:val="center"/>
          </w:tcPr>
          <w:p w14:paraId="77BF2112"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Гранична сукупна вартість правочинів, тис.грн</w:t>
            </w:r>
          </w:p>
        </w:tc>
        <w:tc>
          <w:tcPr>
            <w:tcW w:w="2500" w:type="dxa"/>
            <w:tcBorders>
              <w:top w:val="single" w:sz="6" w:space="0" w:color="auto"/>
              <w:left w:val="single" w:sz="6" w:space="0" w:color="auto"/>
              <w:bottom w:val="single" w:sz="6" w:space="0" w:color="auto"/>
              <w:right w:val="single" w:sz="6" w:space="0" w:color="auto"/>
            </w:tcBorders>
            <w:vAlign w:val="center"/>
          </w:tcPr>
          <w:p w14:paraId="7A64B270" w14:textId="77777777" w:rsidR="006C7DF4" w:rsidRDefault="00A72B38">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Вартість активів емітента за даними останньої річної фінансової звітності, тис.грн</w:t>
            </w:r>
          </w:p>
        </w:tc>
        <w:tc>
          <w:tcPr>
            <w:tcW w:w="3665" w:type="dxa"/>
            <w:tcBorders>
              <w:top w:val="single" w:sz="6" w:space="0" w:color="auto"/>
              <w:left w:val="single" w:sz="6" w:space="0" w:color="auto"/>
              <w:bottom w:val="single" w:sz="6" w:space="0" w:color="auto"/>
            </w:tcBorders>
            <w:vAlign w:val="center"/>
          </w:tcPr>
          <w:p w14:paraId="041E591E"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w:t>
            </w:r>
          </w:p>
        </w:tc>
      </w:tr>
      <w:tr w:rsidR="006C7DF4" w14:paraId="29E858B8" w14:textId="77777777">
        <w:trPr>
          <w:trHeight w:val="300"/>
        </w:trPr>
        <w:tc>
          <w:tcPr>
            <w:tcW w:w="500" w:type="dxa"/>
            <w:tcBorders>
              <w:top w:val="single" w:sz="6" w:space="0" w:color="auto"/>
              <w:bottom w:val="single" w:sz="6" w:space="0" w:color="auto"/>
              <w:right w:val="single" w:sz="6" w:space="0" w:color="auto"/>
            </w:tcBorders>
            <w:vAlign w:val="center"/>
          </w:tcPr>
          <w:p w14:paraId="0A0FAB60"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300" w:type="dxa"/>
            <w:tcBorders>
              <w:top w:val="single" w:sz="6" w:space="0" w:color="auto"/>
              <w:left w:val="single" w:sz="6" w:space="0" w:color="auto"/>
              <w:bottom w:val="single" w:sz="6" w:space="0" w:color="auto"/>
              <w:right w:val="single" w:sz="6" w:space="0" w:color="auto"/>
            </w:tcBorders>
            <w:vAlign w:val="center"/>
          </w:tcPr>
          <w:p w14:paraId="162E3E32"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14:paraId="0714C01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500" w:type="dxa"/>
            <w:tcBorders>
              <w:top w:val="single" w:sz="6" w:space="0" w:color="auto"/>
              <w:left w:val="single" w:sz="6" w:space="0" w:color="auto"/>
              <w:bottom w:val="single" w:sz="6" w:space="0" w:color="auto"/>
              <w:right w:val="single" w:sz="6" w:space="0" w:color="auto"/>
            </w:tcBorders>
            <w:vAlign w:val="center"/>
          </w:tcPr>
          <w:p w14:paraId="421AB1A3"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665" w:type="dxa"/>
            <w:tcBorders>
              <w:top w:val="single" w:sz="6" w:space="0" w:color="auto"/>
              <w:left w:val="single" w:sz="6" w:space="0" w:color="auto"/>
              <w:bottom w:val="single" w:sz="6" w:space="0" w:color="auto"/>
            </w:tcBorders>
            <w:vAlign w:val="center"/>
          </w:tcPr>
          <w:p w14:paraId="151D8E4A"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6C7DF4" w14:paraId="6756A179" w14:textId="77777777">
        <w:trPr>
          <w:trHeight w:val="300"/>
        </w:trPr>
        <w:tc>
          <w:tcPr>
            <w:tcW w:w="500" w:type="dxa"/>
            <w:tcBorders>
              <w:top w:val="single" w:sz="6" w:space="0" w:color="auto"/>
              <w:bottom w:val="single" w:sz="6" w:space="0" w:color="auto"/>
              <w:right w:val="single" w:sz="6" w:space="0" w:color="auto"/>
            </w:tcBorders>
          </w:tcPr>
          <w:p w14:paraId="51A04849"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300" w:type="dxa"/>
            <w:tcBorders>
              <w:top w:val="single" w:sz="6" w:space="0" w:color="auto"/>
              <w:left w:val="single" w:sz="6" w:space="0" w:color="auto"/>
              <w:bottom w:val="single" w:sz="6" w:space="0" w:color="auto"/>
              <w:right w:val="single" w:sz="6" w:space="0" w:color="auto"/>
            </w:tcBorders>
          </w:tcPr>
          <w:p w14:paraId="0D01F044"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1E6B08B8"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3 031 806</w:t>
            </w:r>
          </w:p>
        </w:tc>
        <w:tc>
          <w:tcPr>
            <w:tcW w:w="2500" w:type="dxa"/>
            <w:tcBorders>
              <w:top w:val="single" w:sz="6" w:space="0" w:color="auto"/>
              <w:left w:val="single" w:sz="6" w:space="0" w:color="auto"/>
              <w:bottom w:val="single" w:sz="6" w:space="0" w:color="auto"/>
              <w:right w:val="single" w:sz="6" w:space="0" w:color="auto"/>
            </w:tcBorders>
          </w:tcPr>
          <w:p w14:paraId="0B3A2E2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520A11B8"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1 597,86</w:t>
            </w:r>
          </w:p>
        </w:tc>
      </w:tr>
      <w:tr w:rsidR="006C7DF4" w14:paraId="49756EE8" w14:textId="77777777">
        <w:trPr>
          <w:trHeight w:val="300"/>
        </w:trPr>
        <w:tc>
          <w:tcPr>
            <w:tcW w:w="10465" w:type="dxa"/>
            <w:gridSpan w:val="5"/>
            <w:tcBorders>
              <w:top w:val="single" w:sz="6" w:space="0" w:color="auto"/>
              <w:bottom w:val="single" w:sz="6" w:space="0" w:color="auto"/>
            </w:tcBorders>
            <w:vAlign w:val="center"/>
          </w:tcPr>
          <w:p w14:paraId="017D92CD"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52219875" w14:textId="77777777">
        <w:trPr>
          <w:trHeight w:val="300"/>
        </w:trPr>
        <w:tc>
          <w:tcPr>
            <w:tcW w:w="10465" w:type="dxa"/>
            <w:gridSpan w:val="5"/>
            <w:tcBorders>
              <w:top w:val="single" w:sz="6" w:space="0" w:color="auto"/>
              <w:bottom w:val="single" w:sz="6" w:space="0" w:color="auto"/>
            </w:tcBorders>
            <w:vAlign w:val="center"/>
          </w:tcPr>
          <w:p w14:paraId="392C891C"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7C94B96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що вчиняються у зв’язку з участю Товариства у процедурах закупівлі мобільних газорозподільних станцій;</w:t>
            </w:r>
          </w:p>
          <w:p w14:paraId="7099BA7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60 000 000,00 ЄВРО (EUR), що становить 3 031 806 000,00 грн в еквіваленті, визначеному за офіційним курсом Національного банку України на дату прийняття рішення про попереднє надання згоди 21.10.2026;</w:t>
            </w:r>
          </w:p>
          <w:p w14:paraId="549493B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вартість активів емітента за даними останньої річної фінансової звітності: 189 742 тис.грн</w:t>
            </w:r>
          </w:p>
          <w:p w14:paraId="62F4D8BB"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1597,86%;</w:t>
            </w:r>
          </w:p>
          <w:p w14:paraId="662B6FAC"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2B680F59"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tc>
      </w:tr>
      <w:tr w:rsidR="006C7DF4" w14:paraId="2192C19B" w14:textId="77777777">
        <w:trPr>
          <w:trHeight w:val="300"/>
        </w:trPr>
        <w:tc>
          <w:tcPr>
            <w:tcW w:w="500" w:type="dxa"/>
            <w:tcBorders>
              <w:top w:val="single" w:sz="6" w:space="0" w:color="auto"/>
              <w:bottom w:val="single" w:sz="6" w:space="0" w:color="auto"/>
              <w:right w:val="single" w:sz="6" w:space="0" w:color="auto"/>
            </w:tcBorders>
          </w:tcPr>
          <w:p w14:paraId="6DE29326"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300" w:type="dxa"/>
            <w:tcBorders>
              <w:top w:val="single" w:sz="6" w:space="0" w:color="auto"/>
              <w:left w:val="single" w:sz="6" w:space="0" w:color="auto"/>
              <w:bottom w:val="single" w:sz="6" w:space="0" w:color="auto"/>
              <w:right w:val="single" w:sz="6" w:space="0" w:color="auto"/>
            </w:tcBorders>
          </w:tcPr>
          <w:p w14:paraId="2834000F"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6DF2FE9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1 010 602</w:t>
            </w:r>
          </w:p>
        </w:tc>
        <w:tc>
          <w:tcPr>
            <w:tcW w:w="2500" w:type="dxa"/>
            <w:tcBorders>
              <w:top w:val="single" w:sz="6" w:space="0" w:color="auto"/>
              <w:left w:val="single" w:sz="6" w:space="0" w:color="auto"/>
              <w:bottom w:val="single" w:sz="6" w:space="0" w:color="auto"/>
              <w:right w:val="single" w:sz="6" w:space="0" w:color="auto"/>
            </w:tcBorders>
          </w:tcPr>
          <w:p w14:paraId="1E1EAB99"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19A9C90D"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532,62</w:t>
            </w:r>
          </w:p>
        </w:tc>
      </w:tr>
      <w:tr w:rsidR="006C7DF4" w14:paraId="00AC4C3B" w14:textId="77777777">
        <w:trPr>
          <w:trHeight w:val="300"/>
        </w:trPr>
        <w:tc>
          <w:tcPr>
            <w:tcW w:w="10465" w:type="dxa"/>
            <w:gridSpan w:val="5"/>
            <w:tcBorders>
              <w:top w:val="single" w:sz="6" w:space="0" w:color="auto"/>
              <w:bottom w:val="single" w:sz="6" w:space="0" w:color="auto"/>
            </w:tcBorders>
            <w:vAlign w:val="center"/>
          </w:tcPr>
          <w:p w14:paraId="161A0E89"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71B5CC92" w14:textId="77777777">
        <w:trPr>
          <w:trHeight w:val="300"/>
        </w:trPr>
        <w:tc>
          <w:tcPr>
            <w:tcW w:w="10465" w:type="dxa"/>
            <w:gridSpan w:val="5"/>
            <w:tcBorders>
              <w:top w:val="single" w:sz="6" w:space="0" w:color="auto"/>
              <w:bottom w:val="single" w:sz="6" w:space="0" w:color="auto"/>
            </w:tcBorders>
            <w:vAlign w:val="center"/>
          </w:tcPr>
          <w:p w14:paraId="6CF51839"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11AF23AB"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угоди та інші правочини), спрямовані на організацію спільної участі Товариства з іншими юридичними особами у процедурах закупівель (тендерах, запитах цінових пропозицій тощо) мобільних газорозподільних станцій;</w:t>
            </w:r>
          </w:p>
          <w:p w14:paraId="06F817C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20 000 000,00 ЄВРО (EUR), що становить 1 010 602 000,00 грн в еквіваленті, визначеному за офіційним курсом Національного банку України на дату прийняття рішення про попереднє надання згоди 21.10.2026;</w:t>
            </w:r>
          </w:p>
          <w:p w14:paraId="76B54A7D"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23F7A0C3"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532,62%;</w:t>
            </w:r>
          </w:p>
          <w:p w14:paraId="6DDF1C59"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234F756D"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3A588A13"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10F31535" w14:textId="77777777">
        <w:trPr>
          <w:trHeight w:val="300"/>
        </w:trPr>
        <w:tc>
          <w:tcPr>
            <w:tcW w:w="500" w:type="dxa"/>
            <w:tcBorders>
              <w:top w:val="single" w:sz="6" w:space="0" w:color="auto"/>
              <w:bottom w:val="single" w:sz="6" w:space="0" w:color="auto"/>
              <w:right w:val="single" w:sz="6" w:space="0" w:color="auto"/>
            </w:tcBorders>
          </w:tcPr>
          <w:p w14:paraId="6675FCCA"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300" w:type="dxa"/>
            <w:tcBorders>
              <w:top w:val="single" w:sz="6" w:space="0" w:color="auto"/>
              <w:left w:val="single" w:sz="6" w:space="0" w:color="auto"/>
              <w:bottom w:val="single" w:sz="6" w:space="0" w:color="auto"/>
              <w:right w:val="single" w:sz="6" w:space="0" w:color="auto"/>
            </w:tcBorders>
          </w:tcPr>
          <w:p w14:paraId="576FC60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760D8D14"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1 010 602</w:t>
            </w:r>
          </w:p>
        </w:tc>
        <w:tc>
          <w:tcPr>
            <w:tcW w:w="2500" w:type="dxa"/>
            <w:tcBorders>
              <w:top w:val="single" w:sz="6" w:space="0" w:color="auto"/>
              <w:left w:val="single" w:sz="6" w:space="0" w:color="auto"/>
              <w:bottom w:val="single" w:sz="6" w:space="0" w:color="auto"/>
              <w:right w:val="single" w:sz="6" w:space="0" w:color="auto"/>
            </w:tcBorders>
          </w:tcPr>
          <w:p w14:paraId="00EA267D"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31D34461"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532,62</w:t>
            </w:r>
          </w:p>
        </w:tc>
      </w:tr>
      <w:tr w:rsidR="006C7DF4" w14:paraId="75805475" w14:textId="77777777">
        <w:trPr>
          <w:trHeight w:val="300"/>
        </w:trPr>
        <w:tc>
          <w:tcPr>
            <w:tcW w:w="10465" w:type="dxa"/>
            <w:gridSpan w:val="5"/>
            <w:tcBorders>
              <w:top w:val="single" w:sz="6" w:space="0" w:color="auto"/>
              <w:bottom w:val="single" w:sz="6" w:space="0" w:color="auto"/>
            </w:tcBorders>
            <w:vAlign w:val="center"/>
          </w:tcPr>
          <w:p w14:paraId="58815AAC"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218909BF" w14:textId="77777777">
        <w:trPr>
          <w:trHeight w:val="300"/>
        </w:trPr>
        <w:tc>
          <w:tcPr>
            <w:tcW w:w="10465" w:type="dxa"/>
            <w:gridSpan w:val="5"/>
            <w:tcBorders>
              <w:top w:val="single" w:sz="6" w:space="0" w:color="auto"/>
              <w:bottom w:val="single" w:sz="6" w:space="0" w:color="auto"/>
            </w:tcBorders>
            <w:vAlign w:val="center"/>
          </w:tcPr>
          <w:p w14:paraId="5734F81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261ED0F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угоди та інші правочини) щодо внесення Товариством грошових коштів, майна, майнових прав та/або інших вкладів у спільну діяльність, фінансування спільних витрат, перерахування коштів уповноваженому учаснику (лідеру), визначеному відповідно до умов спільної участі, та відшкодування витрат, пов’язаних зі спільною участю Товариства з іншими юридичними особами у процедурах закупівель та виконанням договорів про закупівлю мобільних газорозподільних станцій;</w:t>
            </w:r>
          </w:p>
          <w:p w14:paraId="0744680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гранична сукупна вартість правочинів: 20 000 000,00 ЄВРО (EUR), що становить  1 010 602 000,00 грн в еквіваленті, </w:t>
            </w:r>
            <w:r>
              <w:rPr>
                <w:rFonts w:ascii="Times New Roman" w:hAnsi="Times New Roman" w:cs="Times New Roman"/>
                <w:sz w:val="20"/>
                <w:szCs w:val="20"/>
              </w:rPr>
              <w:lastRenderedPageBreak/>
              <w:t>визначеному за офіційним курсом Національного банку України на дату прийняття рішення про попереднє надання згоди 21.10.2026;</w:t>
            </w:r>
          </w:p>
          <w:p w14:paraId="6658BB5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751926F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532,62%;</w:t>
            </w:r>
          </w:p>
          <w:p w14:paraId="60F9C54C"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6912EB85"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15E23146"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00D6EC4F" w14:textId="77777777">
        <w:trPr>
          <w:trHeight w:val="300"/>
        </w:trPr>
        <w:tc>
          <w:tcPr>
            <w:tcW w:w="500" w:type="dxa"/>
            <w:tcBorders>
              <w:top w:val="single" w:sz="6" w:space="0" w:color="auto"/>
              <w:bottom w:val="single" w:sz="6" w:space="0" w:color="auto"/>
              <w:right w:val="single" w:sz="6" w:space="0" w:color="auto"/>
            </w:tcBorders>
          </w:tcPr>
          <w:p w14:paraId="2147AA86"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4</w:t>
            </w:r>
          </w:p>
        </w:tc>
        <w:tc>
          <w:tcPr>
            <w:tcW w:w="1300" w:type="dxa"/>
            <w:tcBorders>
              <w:top w:val="single" w:sz="6" w:space="0" w:color="auto"/>
              <w:left w:val="single" w:sz="6" w:space="0" w:color="auto"/>
              <w:bottom w:val="single" w:sz="6" w:space="0" w:color="auto"/>
              <w:right w:val="single" w:sz="6" w:space="0" w:color="auto"/>
            </w:tcBorders>
          </w:tcPr>
          <w:p w14:paraId="55658AC1"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3388F12B"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1 010 602</w:t>
            </w:r>
          </w:p>
        </w:tc>
        <w:tc>
          <w:tcPr>
            <w:tcW w:w="2500" w:type="dxa"/>
            <w:tcBorders>
              <w:top w:val="single" w:sz="6" w:space="0" w:color="auto"/>
              <w:left w:val="single" w:sz="6" w:space="0" w:color="auto"/>
              <w:bottom w:val="single" w:sz="6" w:space="0" w:color="auto"/>
              <w:right w:val="single" w:sz="6" w:space="0" w:color="auto"/>
            </w:tcBorders>
          </w:tcPr>
          <w:p w14:paraId="2798DD68"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2E72B001"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532,62</w:t>
            </w:r>
          </w:p>
        </w:tc>
      </w:tr>
      <w:tr w:rsidR="006C7DF4" w14:paraId="026C0765" w14:textId="77777777">
        <w:trPr>
          <w:trHeight w:val="300"/>
        </w:trPr>
        <w:tc>
          <w:tcPr>
            <w:tcW w:w="10465" w:type="dxa"/>
            <w:gridSpan w:val="5"/>
            <w:tcBorders>
              <w:top w:val="single" w:sz="6" w:space="0" w:color="auto"/>
              <w:bottom w:val="single" w:sz="6" w:space="0" w:color="auto"/>
            </w:tcBorders>
            <w:vAlign w:val="center"/>
          </w:tcPr>
          <w:p w14:paraId="50345349"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722DFD8E" w14:textId="77777777">
        <w:trPr>
          <w:trHeight w:val="300"/>
        </w:trPr>
        <w:tc>
          <w:tcPr>
            <w:tcW w:w="10465" w:type="dxa"/>
            <w:gridSpan w:val="5"/>
            <w:tcBorders>
              <w:top w:val="single" w:sz="6" w:space="0" w:color="auto"/>
              <w:bottom w:val="single" w:sz="6" w:space="0" w:color="auto"/>
            </w:tcBorders>
            <w:vAlign w:val="center"/>
          </w:tcPr>
          <w:p w14:paraId="05644D8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73FF622D"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контракти, угоди та інші правочини) на постачання Товариством нерезидентам мобільних газорозподільних станцій, подібного обладнання та/або їх складових частин, виконання робіт та надання послуг, необхідних для виконання договорів про закупівлю мобільних газорозподільних станцій;</w:t>
            </w:r>
          </w:p>
          <w:p w14:paraId="27664E47"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20 000 000,00 ЄВРО (EUR), що становить 1 010 602 000,00 грн в еквіваленті, визначеному за офіційним курсом Національного банку України на дату прийняття рішення про попереднє надання згоди 21.10.2026;</w:t>
            </w:r>
          </w:p>
          <w:p w14:paraId="1AD5C0C1"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1550601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532,62%;</w:t>
            </w:r>
          </w:p>
          <w:p w14:paraId="4784149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3117FAAB"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7FF842F7"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41D3A0FF" w14:textId="77777777">
        <w:trPr>
          <w:trHeight w:val="300"/>
        </w:trPr>
        <w:tc>
          <w:tcPr>
            <w:tcW w:w="500" w:type="dxa"/>
            <w:tcBorders>
              <w:top w:val="single" w:sz="6" w:space="0" w:color="auto"/>
              <w:bottom w:val="single" w:sz="6" w:space="0" w:color="auto"/>
              <w:right w:val="single" w:sz="6" w:space="0" w:color="auto"/>
            </w:tcBorders>
          </w:tcPr>
          <w:p w14:paraId="69652C4A"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300" w:type="dxa"/>
            <w:tcBorders>
              <w:top w:val="single" w:sz="6" w:space="0" w:color="auto"/>
              <w:left w:val="single" w:sz="6" w:space="0" w:color="auto"/>
              <w:bottom w:val="single" w:sz="6" w:space="0" w:color="auto"/>
              <w:right w:val="single" w:sz="6" w:space="0" w:color="auto"/>
            </w:tcBorders>
          </w:tcPr>
          <w:p w14:paraId="69610EE3"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4B850BE8"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2 000 000</w:t>
            </w:r>
          </w:p>
        </w:tc>
        <w:tc>
          <w:tcPr>
            <w:tcW w:w="2500" w:type="dxa"/>
            <w:tcBorders>
              <w:top w:val="single" w:sz="6" w:space="0" w:color="auto"/>
              <w:left w:val="single" w:sz="6" w:space="0" w:color="auto"/>
              <w:bottom w:val="single" w:sz="6" w:space="0" w:color="auto"/>
              <w:right w:val="single" w:sz="6" w:space="0" w:color="auto"/>
            </w:tcBorders>
          </w:tcPr>
          <w:p w14:paraId="4A269D45"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466C3FAD"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1 054,06</w:t>
            </w:r>
          </w:p>
        </w:tc>
      </w:tr>
      <w:tr w:rsidR="006C7DF4" w14:paraId="5BB3BCBE" w14:textId="77777777">
        <w:trPr>
          <w:trHeight w:val="300"/>
        </w:trPr>
        <w:tc>
          <w:tcPr>
            <w:tcW w:w="10465" w:type="dxa"/>
            <w:gridSpan w:val="5"/>
            <w:tcBorders>
              <w:top w:val="single" w:sz="6" w:space="0" w:color="auto"/>
              <w:bottom w:val="single" w:sz="6" w:space="0" w:color="auto"/>
            </w:tcBorders>
            <w:vAlign w:val="center"/>
          </w:tcPr>
          <w:p w14:paraId="6ED4259C"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1E6956BB" w14:textId="77777777">
        <w:trPr>
          <w:trHeight w:val="300"/>
        </w:trPr>
        <w:tc>
          <w:tcPr>
            <w:tcW w:w="10465" w:type="dxa"/>
            <w:gridSpan w:val="5"/>
            <w:tcBorders>
              <w:top w:val="single" w:sz="6" w:space="0" w:color="auto"/>
              <w:bottom w:val="single" w:sz="6" w:space="0" w:color="auto"/>
            </w:tcBorders>
            <w:vAlign w:val="center"/>
          </w:tcPr>
          <w:p w14:paraId="195CB49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1488F075"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контракти, угоди та інші правочини) на закупівлю Товариством у резидентів України сировини, матеріалів, металопродукції, обладнання, устаткування, вузлів, агрегатів, комплектуючих, програмного забезпечення, а також робіт і послуг (у тому числі виготовлення вузлів і агрегатів, випробування, сертифікація, інжиніринг, монтаж та пусконалагодження) у зв’язку з виконанням договорів про закупівлю мобільних газорозподільних станцій;</w:t>
            </w:r>
          </w:p>
          <w:p w14:paraId="647D65A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2000000000 грн;</w:t>
            </w:r>
          </w:p>
          <w:p w14:paraId="39B2D8B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1D30E523"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1054,06%;</w:t>
            </w:r>
          </w:p>
          <w:p w14:paraId="77D31E7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7944C89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5ED14C4F"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5103C51D" w14:textId="77777777">
        <w:trPr>
          <w:trHeight w:val="300"/>
        </w:trPr>
        <w:tc>
          <w:tcPr>
            <w:tcW w:w="500" w:type="dxa"/>
            <w:tcBorders>
              <w:top w:val="single" w:sz="6" w:space="0" w:color="auto"/>
              <w:bottom w:val="single" w:sz="6" w:space="0" w:color="auto"/>
              <w:right w:val="single" w:sz="6" w:space="0" w:color="auto"/>
            </w:tcBorders>
          </w:tcPr>
          <w:p w14:paraId="4A310A37"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300" w:type="dxa"/>
            <w:tcBorders>
              <w:top w:val="single" w:sz="6" w:space="0" w:color="auto"/>
              <w:left w:val="single" w:sz="6" w:space="0" w:color="auto"/>
              <w:bottom w:val="single" w:sz="6" w:space="0" w:color="auto"/>
              <w:right w:val="single" w:sz="6" w:space="0" w:color="auto"/>
            </w:tcBorders>
          </w:tcPr>
          <w:p w14:paraId="5661C85B"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005025E0"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3 031 806</w:t>
            </w:r>
          </w:p>
        </w:tc>
        <w:tc>
          <w:tcPr>
            <w:tcW w:w="2500" w:type="dxa"/>
            <w:tcBorders>
              <w:top w:val="single" w:sz="6" w:space="0" w:color="auto"/>
              <w:left w:val="single" w:sz="6" w:space="0" w:color="auto"/>
              <w:bottom w:val="single" w:sz="6" w:space="0" w:color="auto"/>
              <w:right w:val="single" w:sz="6" w:space="0" w:color="auto"/>
            </w:tcBorders>
          </w:tcPr>
          <w:p w14:paraId="1DC9BB8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5F2CB40A"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1 597,86</w:t>
            </w:r>
          </w:p>
        </w:tc>
      </w:tr>
      <w:tr w:rsidR="006C7DF4" w14:paraId="5EFBD6B9" w14:textId="77777777">
        <w:trPr>
          <w:trHeight w:val="300"/>
        </w:trPr>
        <w:tc>
          <w:tcPr>
            <w:tcW w:w="10465" w:type="dxa"/>
            <w:gridSpan w:val="5"/>
            <w:tcBorders>
              <w:top w:val="single" w:sz="6" w:space="0" w:color="auto"/>
              <w:bottom w:val="single" w:sz="6" w:space="0" w:color="auto"/>
            </w:tcBorders>
            <w:vAlign w:val="center"/>
          </w:tcPr>
          <w:p w14:paraId="18ADCF71"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2FBC475B" w14:textId="77777777">
        <w:trPr>
          <w:trHeight w:val="300"/>
        </w:trPr>
        <w:tc>
          <w:tcPr>
            <w:tcW w:w="10465" w:type="dxa"/>
            <w:gridSpan w:val="5"/>
            <w:tcBorders>
              <w:top w:val="single" w:sz="6" w:space="0" w:color="auto"/>
              <w:bottom w:val="single" w:sz="6" w:space="0" w:color="auto"/>
            </w:tcBorders>
            <w:vAlign w:val="center"/>
          </w:tcPr>
          <w:p w14:paraId="7E696BA4"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2D537D1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характер правочинів: правочини (договори, контракти, угоди та інші правочини) на закупівлю Товариством у нерезидентів сировини, матеріалів, металопродукції, обладнання, устаткування, вузлів, агрегатів, комплектуючих, програмного забезпечення, а також робіт і послуг (у тому числі виготовлення вузлів і агрегатів, випробування, </w:t>
            </w:r>
            <w:r>
              <w:rPr>
                <w:rFonts w:ascii="Times New Roman" w:hAnsi="Times New Roman" w:cs="Times New Roman"/>
                <w:sz w:val="20"/>
                <w:szCs w:val="20"/>
              </w:rPr>
              <w:lastRenderedPageBreak/>
              <w:t>сертифікація, інжиніринг, монтаж та пусконалагодження) у зв’язку з виконанням договорів про закупівлю мобільних газорозподільних станцій;</w:t>
            </w:r>
          </w:p>
          <w:p w14:paraId="76F3E28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60 000 000,00 ЄВРО (EUR), що становить 3 031 806 000,00 грн в еквіваленті, визначеному за офіційним курсом Національного банку України на дату прийняття рішення про попереднє надання згоди 21.10.2026;</w:t>
            </w:r>
          </w:p>
          <w:p w14:paraId="054748B1"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1ABC5F62"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1597,86%;</w:t>
            </w:r>
          </w:p>
          <w:p w14:paraId="47A3E51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7599009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09B99601"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0D742A44" w14:textId="77777777">
        <w:trPr>
          <w:trHeight w:val="300"/>
        </w:trPr>
        <w:tc>
          <w:tcPr>
            <w:tcW w:w="500" w:type="dxa"/>
            <w:tcBorders>
              <w:top w:val="single" w:sz="6" w:space="0" w:color="auto"/>
              <w:bottom w:val="single" w:sz="6" w:space="0" w:color="auto"/>
              <w:right w:val="single" w:sz="6" w:space="0" w:color="auto"/>
            </w:tcBorders>
          </w:tcPr>
          <w:p w14:paraId="650A413A"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w:t>
            </w:r>
          </w:p>
        </w:tc>
        <w:tc>
          <w:tcPr>
            <w:tcW w:w="1300" w:type="dxa"/>
            <w:tcBorders>
              <w:top w:val="single" w:sz="6" w:space="0" w:color="auto"/>
              <w:left w:val="single" w:sz="6" w:space="0" w:color="auto"/>
              <w:bottom w:val="single" w:sz="6" w:space="0" w:color="auto"/>
              <w:right w:val="single" w:sz="6" w:space="0" w:color="auto"/>
            </w:tcBorders>
          </w:tcPr>
          <w:p w14:paraId="55753FB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0E1AFE32"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1 010 602</w:t>
            </w:r>
          </w:p>
        </w:tc>
        <w:tc>
          <w:tcPr>
            <w:tcW w:w="2500" w:type="dxa"/>
            <w:tcBorders>
              <w:top w:val="single" w:sz="6" w:space="0" w:color="auto"/>
              <w:left w:val="single" w:sz="6" w:space="0" w:color="auto"/>
              <w:bottom w:val="single" w:sz="6" w:space="0" w:color="auto"/>
              <w:right w:val="single" w:sz="6" w:space="0" w:color="auto"/>
            </w:tcBorders>
          </w:tcPr>
          <w:p w14:paraId="3C96710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727BABA1"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532,62</w:t>
            </w:r>
          </w:p>
        </w:tc>
      </w:tr>
      <w:tr w:rsidR="006C7DF4" w14:paraId="0087CEFE" w14:textId="77777777">
        <w:trPr>
          <w:trHeight w:val="300"/>
        </w:trPr>
        <w:tc>
          <w:tcPr>
            <w:tcW w:w="10465" w:type="dxa"/>
            <w:gridSpan w:val="5"/>
            <w:tcBorders>
              <w:top w:val="single" w:sz="6" w:space="0" w:color="auto"/>
              <w:bottom w:val="single" w:sz="6" w:space="0" w:color="auto"/>
            </w:tcBorders>
            <w:vAlign w:val="center"/>
          </w:tcPr>
          <w:p w14:paraId="3C862009"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0F3FB2FD" w14:textId="77777777">
        <w:trPr>
          <w:trHeight w:val="300"/>
        </w:trPr>
        <w:tc>
          <w:tcPr>
            <w:tcW w:w="10465" w:type="dxa"/>
            <w:gridSpan w:val="5"/>
            <w:tcBorders>
              <w:top w:val="single" w:sz="6" w:space="0" w:color="auto"/>
              <w:bottom w:val="single" w:sz="6" w:space="0" w:color="auto"/>
            </w:tcBorders>
            <w:vAlign w:val="center"/>
          </w:tcPr>
          <w:p w14:paraId="751C91F4"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641839D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угоди та інші правочини) на отримання Товариством від банків та інших фінансових установ кредитів, відкриття кредитних ліній, оформлення та надання банками за заявою Товариства банківських гарантій (забезпечення тендерної пропозиції, повернення авансового платежу, належного виконання договору, виконання гарантійних зобов’язань), необхідних для участі у процедурах закупівель та виконання договорів про закупівлю мобільних газорозподільних станцій;</w:t>
            </w:r>
          </w:p>
          <w:p w14:paraId="10710B89"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20 000 000,00 ЄВРО (EUR), що становить 1 010 602 000,00 грн в еквіваленті, визначеному за офіційним курсом Національного банку України на дату прийняття рішення про попереднє надання згоди 21.10.2026;</w:t>
            </w:r>
          </w:p>
          <w:p w14:paraId="5BD4535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7B8E493B"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532,62%;</w:t>
            </w:r>
          </w:p>
          <w:p w14:paraId="1C9C5CB7"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359D8AC2"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77E109BE"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2A012764" w14:textId="77777777">
        <w:trPr>
          <w:trHeight w:val="300"/>
        </w:trPr>
        <w:tc>
          <w:tcPr>
            <w:tcW w:w="500" w:type="dxa"/>
            <w:tcBorders>
              <w:top w:val="single" w:sz="6" w:space="0" w:color="auto"/>
              <w:bottom w:val="single" w:sz="6" w:space="0" w:color="auto"/>
              <w:right w:val="single" w:sz="6" w:space="0" w:color="auto"/>
            </w:tcBorders>
          </w:tcPr>
          <w:p w14:paraId="19C25C38"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300" w:type="dxa"/>
            <w:tcBorders>
              <w:top w:val="single" w:sz="6" w:space="0" w:color="auto"/>
              <w:left w:val="single" w:sz="6" w:space="0" w:color="auto"/>
              <w:bottom w:val="single" w:sz="6" w:space="0" w:color="auto"/>
              <w:right w:val="single" w:sz="6" w:space="0" w:color="auto"/>
            </w:tcBorders>
          </w:tcPr>
          <w:p w14:paraId="50588EAF"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7066AE35"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1 010 602</w:t>
            </w:r>
          </w:p>
        </w:tc>
        <w:tc>
          <w:tcPr>
            <w:tcW w:w="2500" w:type="dxa"/>
            <w:tcBorders>
              <w:top w:val="single" w:sz="6" w:space="0" w:color="auto"/>
              <w:left w:val="single" w:sz="6" w:space="0" w:color="auto"/>
              <w:bottom w:val="single" w:sz="6" w:space="0" w:color="auto"/>
              <w:right w:val="single" w:sz="6" w:space="0" w:color="auto"/>
            </w:tcBorders>
          </w:tcPr>
          <w:p w14:paraId="2E3610E7"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6B334C40"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532,62</w:t>
            </w:r>
          </w:p>
        </w:tc>
      </w:tr>
      <w:tr w:rsidR="006C7DF4" w14:paraId="010BBE4D" w14:textId="77777777">
        <w:trPr>
          <w:trHeight w:val="300"/>
        </w:trPr>
        <w:tc>
          <w:tcPr>
            <w:tcW w:w="10465" w:type="dxa"/>
            <w:gridSpan w:val="5"/>
            <w:tcBorders>
              <w:top w:val="single" w:sz="6" w:space="0" w:color="auto"/>
              <w:bottom w:val="single" w:sz="6" w:space="0" w:color="auto"/>
            </w:tcBorders>
            <w:vAlign w:val="center"/>
          </w:tcPr>
          <w:p w14:paraId="0950EFCA"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0A5EC4AF" w14:textId="77777777">
        <w:trPr>
          <w:trHeight w:val="300"/>
        </w:trPr>
        <w:tc>
          <w:tcPr>
            <w:tcW w:w="10465" w:type="dxa"/>
            <w:gridSpan w:val="5"/>
            <w:tcBorders>
              <w:top w:val="single" w:sz="6" w:space="0" w:color="auto"/>
              <w:bottom w:val="single" w:sz="6" w:space="0" w:color="auto"/>
            </w:tcBorders>
            <w:vAlign w:val="center"/>
          </w:tcPr>
          <w:p w14:paraId="3A904001"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4AF42A66"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угоди та інші правочини) щодо розміщення та/або резервування грошових коштів Товариства у банках, у тому числі на банківських рахунках, банківських вкладах (депозитах), рахунках грошового покриття та інших рахунках, як грошового покриття (забезпечення) за банківськими гарантіями та кредитами необхідних для участі у процедурах закупівель та виконання договорів про закупівлю мобільних газорозподільних станцій;</w:t>
            </w:r>
          </w:p>
          <w:p w14:paraId="140B6DA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20 000 000,00 ЄВРО (EUR), що становить 1 010 602 000,00 грн в еквіваленті, визначеному за офіційним курсом Національного банку України на дату прийняття рішення про попереднє надання згоди 21.10.2026;</w:t>
            </w:r>
          </w:p>
          <w:p w14:paraId="157AC7BC"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224D3AE2"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532,62%;</w:t>
            </w:r>
          </w:p>
          <w:p w14:paraId="07D8C3CD"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21DC3ED4"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19631D11"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09938872" w14:textId="77777777">
        <w:trPr>
          <w:trHeight w:val="300"/>
        </w:trPr>
        <w:tc>
          <w:tcPr>
            <w:tcW w:w="500" w:type="dxa"/>
            <w:tcBorders>
              <w:top w:val="single" w:sz="6" w:space="0" w:color="auto"/>
              <w:bottom w:val="single" w:sz="6" w:space="0" w:color="auto"/>
              <w:right w:val="single" w:sz="6" w:space="0" w:color="auto"/>
            </w:tcBorders>
          </w:tcPr>
          <w:p w14:paraId="70AC2731"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1300" w:type="dxa"/>
            <w:tcBorders>
              <w:top w:val="single" w:sz="6" w:space="0" w:color="auto"/>
              <w:left w:val="single" w:sz="6" w:space="0" w:color="auto"/>
              <w:bottom w:val="single" w:sz="6" w:space="0" w:color="auto"/>
              <w:right w:val="single" w:sz="6" w:space="0" w:color="auto"/>
            </w:tcBorders>
          </w:tcPr>
          <w:p w14:paraId="176876CB"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1DA2041E"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2 000 000</w:t>
            </w:r>
          </w:p>
        </w:tc>
        <w:tc>
          <w:tcPr>
            <w:tcW w:w="2500" w:type="dxa"/>
            <w:tcBorders>
              <w:top w:val="single" w:sz="6" w:space="0" w:color="auto"/>
              <w:left w:val="single" w:sz="6" w:space="0" w:color="auto"/>
              <w:bottom w:val="single" w:sz="6" w:space="0" w:color="auto"/>
              <w:right w:val="single" w:sz="6" w:space="0" w:color="auto"/>
            </w:tcBorders>
          </w:tcPr>
          <w:p w14:paraId="6B84B97B"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5DCC8191"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1 054,06</w:t>
            </w:r>
          </w:p>
        </w:tc>
      </w:tr>
      <w:tr w:rsidR="006C7DF4" w14:paraId="4B0DB40F" w14:textId="77777777">
        <w:trPr>
          <w:trHeight w:val="300"/>
        </w:trPr>
        <w:tc>
          <w:tcPr>
            <w:tcW w:w="10465" w:type="dxa"/>
            <w:gridSpan w:val="5"/>
            <w:tcBorders>
              <w:top w:val="single" w:sz="6" w:space="0" w:color="auto"/>
              <w:bottom w:val="single" w:sz="6" w:space="0" w:color="auto"/>
            </w:tcBorders>
            <w:vAlign w:val="center"/>
          </w:tcPr>
          <w:p w14:paraId="7BE63F0C"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Зміст інформації:</w:t>
            </w:r>
          </w:p>
        </w:tc>
      </w:tr>
      <w:tr w:rsidR="006C7DF4" w14:paraId="2DFDA698" w14:textId="77777777">
        <w:trPr>
          <w:trHeight w:val="300"/>
        </w:trPr>
        <w:tc>
          <w:tcPr>
            <w:tcW w:w="10465" w:type="dxa"/>
            <w:gridSpan w:val="5"/>
            <w:tcBorders>
              <w:top w:val="single" w:sz="6" w:space="0" w:color="auto"/>
              <w:bottom w:val="single" w:sz="6" w:space="0" w:color="auto"/>
            </w:tcBorders>
            <w:vAlign w:val="center"/>
          </w:tcPr>
          <w:p w14:paraId="67C1714C"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03246640"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контракти, угоди та інші правочини) на передачу у заставу (іпотеку) об’єктів нерухомого майна, власником якого є Товариство, на забезпечення виконання Товариством зобов’язань за кредитами та банківськими гарантіями необхідних для участі у процедурах закупівель та виконання договорів про закупівлю мобільних газорозподільних станцій;</w:t>
            </w:r>
          </w:p>
          <w:p w14:paraId="26735F79"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2000000000 грн;</w:t>
            </w:r>
          </w:p>
          <w:p w14:paraId="33225D9B"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486DDA13"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1054,06%;</w:t>
            </w:r>
          </w:p>
          <w:p w14:paraId="3953F1C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646F4831"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1C316508"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7A3B3A0F" w14:textId="77777777">
        <w:trPr>
          <w:trHeight w:val="300"/>
        </w:trPr>
        <w:tc>
          <w:tcPr>
            <w:tcW w:w="500" w:type="dxa"/>
            <w:tcBorders>
              <w:top w:val="single" w:sz="6" w:space="0" w:color="auto"/>
              <w:bottom w:val="single" w:sz="6" w:space="0" w:color="auto"/>
              <w:right w:val="single" w:sz="6" w:space="0" w:color="auto"/>
            </w:tcBorders>
          </w:tcPr>
          <w:p w14:paraId="76ECE204"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300" w:type="dxa"/>
            <w:tcBorders>
              <w:top w:val="single" w:sz="6" w:space="0" w:color="auto"/>
              <w:left w:val="single" w:sz="6" w:space="0" w:color="auto"/>
              <w:bottom w:val="single" w:sz="6" w:space="0" w:color="auto"/>
              <w:right w:val="single" w:sz="6" w:space="0" w:color="auto"/>
            </w:tcBorders>
          </w:tcPr>
          <w:p w14:paraId="78A7BA9F"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55AF59AD"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3 000 000</w:t>
            </w:r>
          </w:p>
        </w:tc>
        <w:tc>
          <w:tcPr>
            <w:tcW w:w="2500" w:type="dxa"/>
            <w:tcBorders>
              <w:top w:val="single" w:sz="6" w:space="0" w:color="auto"/>
              <w:left w:val="single" w:sz="6" w:space="0" w:color="auto"/>
              <w:bottom w:val="single" w:sz="6" w:space="0" w:color="auto"/>
              <w:right w:val="single" w:sz="6" w:space="0" w:color="auto"/>
            </w:tcBorders>
          </w:tcPr>
          <w:p w14:paraId="43101BB0"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5C03009C"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1 581,09</w:t>
            </w:r>
          </w:p>
        </w:tc>
      </w:tr>
      <w:tr w:rsidR="006C7DF4" w14:paraId="299EB963" w14:textId="77777777">
        <w:trPr>
          <w:trHeight w:val="300"/>
        </w:trPr>
        <w:tc>
          <w:tcPr>
            <w:tcW w:w="10465" w:type="dxa"/>
            <w:gridSpan w:val="5"/>
            <w:tcBorders>
              <w:top w:val="single" w:sz="6" w:space="0" w:color="auto"/>
              <w:bottom w:val="single" w:sz="6" w:space="0" w:color="auto"/>
            </w:tcBorders>
            <w:vAlign w:val="center"/>
          </w:tcPr>
          <w:p w14:paraId="4D2F460A"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0F9E6962" w14:textId="77777777">
        <w:trPr>
          <w:trHeight w:val="300"/>
        </w:trPr>
        <w:tc>
          <w:tcPr>
            <w:tcW w:w="10465" w:type="dxa"/>
            <w:gridSpan w:val="5"/>
            <w:tcBorders>
              <w:top w:val="single" w:sz="6" w:space="0" w:color="auto"/>
              <w:bottom w:val="single" w:sz="6" w:space="0" w:color="auto"/>
            </w:tcBorders>
            <w:vAlign w:val="center"/>
          </w:tcPr>
          <w:p w14:paraId="493AD6F1"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7154BC6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контракти, угоди та інші правочини) на передачу у заставу рухомого майна, власником якого є Товариство, на забезпечення виконання Товариством зобов’язань за кредитами та банківськими гарантіями, необхідних для участі у процедурах закупівель та виконання договорів про закупівлю мобільних газорозподільних станцій;</w:t>
            </w:r>
          </w:p>
          <w:p w14:paraId="5ACDC2D8"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3000000000 грн;</w:t>
            </w:r>
          </w:p>
          <w:p w14:paraId="22B8AE1D"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21FC599E"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1581,09%;</w:t>
            </w:r>
          </w:p>
          <w:p w14:paraId="6906B606"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4181E3C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2F0C8D88"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r w:rsidR="006C7DF4" w14:paraId="52B9BC13" w14:textId="77777777">
        <w:trPr>
          <w:trHeight w:val="300"/>
        </w:trPr>
        <w:tc>
          <w:tcPr>
            <w:tcW w:w="500" w:type="dxa"/>
            <w:tcBorders>
              <w:top w:val="single" w:sz="6" w:space="0" w:color="auto"/>
              <w:bottom w:val="single" w:sz="6" w:space="0" w:color="auto"/>
              <w:right w:val="single" w:sz="6" w:space="0" w:color="auto"/>
            </w:tcBorders>
          </w:tcPr>
          <w:p w14:paraId="4B3D994F"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1300" w:type="dxa"/>
            <w:tcBorders>
              <w:top w:val="single" w:sz="6" w:space="0" w:color="auto"/>
              <w:left w:val="single" w:sz="6" w:space="0" w:color="auto"/>
              <w:bottom w:val="single" w:sz="6" w:space="0" w:color="auto"/>
              <w:right w:val="single" w:sz="6" w:space="0" w:color="auto"/>
            </w:tcBorders>
          </w:tcPr>
          <w:p w14:paraId="152F5B32"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21.10.2026</w:t>
            </w:r>
          </w:p>
        </w:tc>
        <w:tc>
          <w:tcPr>
            <w:tcW w:w="2500" w:type="dxa"/>
            <w:tcBorders>
              <w:top w:val="single" w:sz="6" w:space="0" w:color="auto"/>
              <w:left w:val="single" w:sz="6" w:space="0" w:color="auto"/>
              <w:bottom w:val="single" w:sz="6" w:space="0" w:color="auto"/>
              <w:right w:val="single" w:sz="6" w:space="0" w:color="auto"/>
            </w:tcBorders>
          </w:tcPr>
          <w:p w14:paraId="54CA4B6E"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3 000 000</w:t>
            </w:r>
          </w:p>
        </w:tc>
        <w:tc>
          <w:tcPr>
            <w:tcW w:w="2500" w:type="dxa"/>
            <w:tcBorders>
              <w:top w:val="single" w:sz="6" w:space="0" w:color="auto"/>
              <w:left w:val="single" w:sz="6" w:space="0" w:color="auto"/>
              <w:bottom w:val="single" w:sz="6" w:space="0" w:color="auto"/>
              <w:right w:val="single" w:sz="6" w:space="0" w:color="auto"/>
            </w:tcBorders>
          </w:tcPr>
          <w:p w14:paraId="6FBC92A0"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189 742</w:t>
            </w:r>
          </w:p>
        </w:tc>
        <w:tc>
          <w:tcPr>
            <w:tcW w:w="3665" w:type="dxa"/>
            <w:tcBorders>
              <w:top w:val="single" w:sz="6" w:space="0" w:color="auto"/>
              <w:left w:val="single" w:sz="6" w:space="0" w:color="auto"/>
              <w:bottom w:val="single" w:sz="6" w:space="0" w:color="auto"/>
            </w:tcBorders>
          </w:tcPr>
          <w:p w14:paraId="3051F1E5" w14:textId="77777777" w:rsidR="006C7DF4" w:rsidRDefault="00A72B38">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1 581,09</w:t>
            </w:r>
          </w:p>
        </w:tc>
      </w:tr>
      <w:tr w:rsidR="006C7DF4" w14:paraId="1F564941" w14:textId="77777777">
        <w:trPr>
          <w:trHeight w:val="300"/>
        </w:trPr>
        <w:tc>
          <w:tcPr>
            <w:tcW w:w="10465" w:type="dxa"/>
            <w:gridSpan w:val="5"/>
            <w:tcBorders>
              <w:top w:val="single" w:sz="6" w:space="0" w:color="auto"/>
              <w:bottom w:val="single" w:sz="6" w:space="0" w:color="auto"/>
            </w:tcBorders>
            <w:vAlign w:val="center"/>
          </w:tcPr>
          <w:p w14:paraId="3A711598" w14:textId="77777777" w:rsidR="006C7DF4" w:rsidRDefault="00A72B38">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Зміст інформації:</w:t>
            </w:r>
          </w:p>
        </w:tc>
      </w:tr>
      <w:tr w:rsidR="006C7DF4" w14:paraId="3CE20094" w14:textId="77777777">
        <w:trPr>
          <w:trHeight w:val="300"/>
        </w:trPr>
        <w:tc>
          <w:tcPr>
            <w:tcW w:w="10465" w:type="dxa"/>
            <w:gridSpan w:val="5"/>
            <w:tcBorders>
              <w:top w:val="single" w:sz="6" w:space="0" w:color="auto"/>
              <w:bottom w:val="single" w:sz="6" w:space="0" w:color="auto"/>
            </w:tcBorders>
            <w:vAlign w:val="center"/>
          </w:tcPr>
          <w:p w14:paraId="4C44FEB5"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Дата прийняття загальними зборами приватного акціонерного товариства рішення про попереднє надання згоди на вчинення значних правочинів: 21.10.2026, рішення загальних зборів акціонерів ПрАТ «Факел», які були проведені дистанційно 16.10.2026 (протокол про підсумки голосування від 21.10.2026, протокол загальних зборів від 21.10.2026);</w:t>
            </w:r>
          </w:p>
          <w:p w14:paraId="0DEC3329"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характер правочинів: правочини (договори, контракти, угоди та інші правочини) на передачу у заставу майнових прав, у тому числі прав на отримання Товариством грошових коштів за укладеними договорами, майнових прав на грошові кошти, розміщені на банківських рахунках, та прав вимоги за договорами банківського вкладу (депозиту), на забезпечення виконання Товариством зобов’язань за кредитами та банківськими гарантіями, необхідних для участі у процедурах закупівель та виконання договорів про закупівлю мобільних газорозподільних станцій;</w:t>
            </w:r>
          </w:p>
          <w:p w14:paraId="3973515C"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гранична сукупна вартість правочинів: 3000000000 грн;</w:t>
            </w:r>
          </w:p>
          <w:p w14:paraId="1805095F"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вартості активів емітента за даними останньої річної фінансової звітності: 189 742 тис.грн</w:t>
            </w:r>
          </w:p>
          <w:p w14:paraId="144537E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співвідношення граничної сукупної вартості правочинів до вартості активів емітента за даними останньої річної фінансової звітності (у відсотках): 1581,09%;</w:t>
            </w:r>
          </w:p>
          <w:p w14:paraId="3E7EBA8A"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шт;</w:t>
            </w:r>
          </w:p>
          <w:p w14:paraId="1EC71242" w14:textId="77777777" w:rsidR="006C7DF4" w:rsidRDefault="00A72B38">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p w14:paraId="56142473"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p w14:paraId="5DC72BA3" w14:textId="77777777" w:rsidR="006C7DF4" w:rsidRDefault="006C7DF4">
            <w:pPr>
              <w:widowControl w:val="0"/>
              <w:autoSpaceDE w:val="0"/>
              <w:autoSpaceDN w:val="0"/>
              <w:adjustRightInd w:val="0"/>
              <w:spacing w:after="0" w:line="240" w:lineRule="auto"/>
              <w:jc w:val="both"/>
              <w:rPr>
                <w:rFonts w:ascii="Times New Roman" w:hAnsi="Times New Roman" w:cs="Times New Roman"/>
                <w:sz w:val="20"/>
                <w:szCs w:val="20"/>
              </w:rPr>
            </w:pPr>
          </w:p>
        </w:tc>
      </w:tr>
    </w:tbl>
    <w:p w14:paraId="453D0AFA" w14:textId="77777777" w:rsidR="00A72B38" w:rsidRDefault="00A72B38"/>
    <w:sectPr w:rsidR="00A72B38">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03DC5" w14:textId="77777777" w:rsidR="00A1375E" w:rsidRDefault="00A1375E" w:rsidP="00ED1889">
      <w:pPr>
        <w:spacing w:after="0" w:line="240" w:lineRule="auto"/>
      </w:pPr>
      <w:r>
        <w:separator/>
      </w:r>
    </w:p>
  </w:endnote>
  <w:endnote w:type="continuationSeparator" w:id="0">
    <w:p w14:paraId="0C4E037D" w14:textId="77777777" w:rsidR="00A1375E" w:rsidRDefault="00A1375E" w:rsidP="00ED1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CC"/>
    <w:family w:val="swiss"/>
    <w:pitch w:val="variable"/>
    <w:sig w:usb0="E4002EFF" w:usb1="C200247B" w:usb2="00000009" w:usb3="00000000" w:csb0="000001FF" w:csb1="00000000"/>
  </w:font>
  <w:font w:name="Times New Roman">
    <w:altName w:val="Times New Roman CYR"/>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2FAF" w14:textId="77777777" w:rsidR="006C7DF4" w:rsidRDefault="00A72B38">
    <w:pPr>
      <w:widowControl w:val="0"/>
      <w:autoSpaceDE w:val="0"/>
      <w:autoSpaceDN w:val="0"/>
      <w:adjustRightInd w:val="0"/>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fldChar w:fldCharType="begin"/>
    </w:r>
    <w:r>
      <w:rPr>
        <w:rFonts w:ascii="Times New Roman" w:hAnsi="Times New Roman" w:cs="Times New Roman"/>
        <w:sz w:val="20"/>
        <w:szCs w:val="20"/>
        <w:lang w:val="ru-RU"/>
      </w:rPr>
      <w:instrText>PAGE</w:instrText>
    </w:r>
    <w:r>
      <w:rPr>
        <w:rFonts w:ascii="Times New Roman" w:hAnsi="Times New Roman" w:cs="Times New Roman"/>
        <w:sz w:val="20"/>
        <w:szCs w:val="20"/>
        <w:lang w:val="ru-RU"/>
      </w:rPr>
      <w:fldChar w:fldCharType="separate"/>
    </w:r>
    <w:r>
      <w:rPr>
        <w:rFonts w:ascii="Times New Roman" w:hAnsi="Times New Roman" w:cs="Times New Roman"/>
        <w:noProof/>
        <w:sz w:val="20"/>
        <w:szCs w:val="20"/>
        <w:lang w:val="ru-RU"/>
      </w:rPr>
      <w:t>1</w:t>
    </w:r>
    <w:r>
      <w:rPr>
        <w:rFonts w:ascii="Times New Roman" w:hAnsi="Times New Roman" w:cs="Times New Roman"/>
        <w:sz w:val="20"/>
        <w:szCs w:val="20"/>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C7572" w14:textId="77777777" w:rsidR="00A1375E" w:rsidRDefault="00A1375E" w:rsidP="00ED1889">
      <w:pPr>
        <w:spacing w:after="0" w:line="240" w:lineRule="auto"/>
      </w:pPr>
      <w:r>
        <w:separator/>
      </w:r>
    </w:p>
  </w:footnote>
  <w:footnote w:type="continuationSeparator" w:id="0">
    <w:p w14:paraId="0084A3D1" w14:textId="77777777" w:rsidR="00A1375E" w:rsidRDefault="00A1375E" w:rsidP="00ED18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6301A"/>
    <w:rsid w:val="006C7DF4"/>
    <w:rsid w:val="0076301A"/>
    <w:rsid w:val="008466B6"/>
    <w:rsid w:val="00935F2A"/>
    <w:rsid w:val="00A1375E"/>
    <w:rsid w:val="00A72B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D38959"/>
  <w15:docId w15:val="{2B3E0082-4779-4DCB-BFB5-9D672A79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15355</Words>
  <Characters>8753</Characters>
  <Application>Microsoft Office Word</Application>
  <DocSecurity>0</DocSecurity>
  <Lines>72</Lines>
  <Paragraphs>48</Paragraphs>
  <ScaleCrop>false</ScaleCrop>
  <Company/>
  <LinksUpToDate>false</LinksUpToDate>
  <CharactersWithSpaces>24060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Я</dc:creator>
  <cp:lastModifiedBy>Олена Ступак</cp:lastModifiedBy>
  <cp:revision>3</cp:revision>
  <dcterms:created xsi:type="dcterms:W3CDTF">2026-10-28T12:10:00Z</dcterms:created>
  <dcterms:modified xsi:type="dcterms:W3CDTF">2026-10-28T14:38:00Z</dcterms:modified>
</cp:coreProperties>
</file>